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A4E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center"/>
        <w:rPr>
          <w:b/>
        </w:rPr>
      </w:pPr>
      <w:r w:rsidRPr="00336799">
        <w:rPr>
          <w:b/>
        </w:rPr>
        <w:t>OPIS PRZEDMIOTU ZAMÓWIENIA</w:t>
      </w:r>
      <w:bookmarkStart w:id="0" w:name="_GoBack"/>
      <w:bookmarkEnd w:id="0"/>
    </w:p>
    <w:p w14:paraId="6CD2E5DC" w14:textId="77777777" w:rsidR="00594D02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04B1F40F" w14:textId="2544DD33" w:rsidR="00266CFB" w:rsidRPr="00336799" w:rsidRDefault="00266CFB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1</w:t>
      </w:r>
    </w:p>
    <w:p w14:paraId="17BE7775" w14:textId="76399852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Pogrubienie22"/>
          <w:b w:val="0"/>
          <w:bCs w:val="0"/>
          <w:shd w:val="clear" w:color="auto" w:fill="auto"/>
        </w:rPr>
      </w:pPr>
      <w:r w:rsidRPr="00336799">
        <w:t>Świadczenie usług telekomunikacyjnych dla 137</w:t>
      </w:r>
      <w:r w:rsidRPr="00336799">
        <w:rPr>
          <w:vertAlign w:val="superscript"/>
        </w:rPr>
        <w:endnoteReference w:id="1"/>
      </w:r>
      <w:r w:rsidRPr="00336799">
        <w:t xml:space="preserve"> numerów MSISDN</w:t>
      </w:r>
      <w:r w:rsidRPr="00336799">
        <w:rPr>
          <w:rStyle w:val="TeksttreciPogrubienie21"/>
          <w:b w:val="0"/>
        </w:rPr>
        <w:t xml:space="preserve"> w zakresie telefonii komórkowej</w:t>
      </w:r>
      <w:r w:rsidRPr="00336799">
        <w:t xml:space="preserve"> oraz bezprzewodowej transmisji danych. Minimalny zakres usług telekomunikacyjnych</w:t>
      </w:r>
      <w:r w:rsidR="00266CFB">
        <w:t xml:space="preserve"> </w:t>
      </w:r>
      <w:r w:rsidRPr="00336799">
        <w:t xml:space="preserve"> został opisany w Rozdziale 5 </w:t>
      </w:r>
      <w:r w:rsidRPr="00336799">
        <w:rPr>
          <w:rStyle w:val="Teksttreci9pt14"/>
          <w:sz w:val="22"/>
          <w:szCs w:val="22"/>
        </w:rPr>
        <w:t>(specyfikacja minimalnego zakresu usług telekomunikacyjnych).</w:t>
      </w:r>
      <w:r w:rsidRPr="00336799">
        <w:t xml:space="preserve"> </w:t>
      </w:r>
    </w:p>
    <w:p w14:paraId="00F98B24" w14:textId="1A958764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2"/>
      </w:r>
      <w:r w:rsidRPr="00336799">
        <w:t xml:space="preserve"> 1</w:t>
      </w:r>
      <w:r w:rsidR="00252A33" w:rsidRPr="00336799">
        <w:t>15</w:t>
      </w:r>
      <w:r w:rsidRPr="00336799">
        <w:t xml:space="preserve"> szt. kart SIM do telefonów komórkowych w taryfie głosowej oraz </w:t>
      </w:r>
      <w:r w:rsidR="00266CFB">
        <w:t xml:space="preserve"> </w:t>
      </w:r>
      <w:r w:rsidRPr="00336799">
        <w:t>minimum 10 serwisowych. Karty</w:t>
      </w:r>
      <w:r w:rsidR="00266CFB">
        <w:t xml:space="preserve"> </w:t>
      </w:r>
      <w:r w:rsidRPr="00336799">
        <w:t xml:space="preserve">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005B8A12" w14:textId="6AFF4393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3"/>
      </w:r>
      <w:r w:rsidRPr="00336799">
        <w:rPr>
          <w:b/>
        </w:rPr>
        <w:t xml:space="preserve"> </w:t>
      </w:r>
      <w:r w:rsidRPr="00336799">
        <w:t>3</w:t>
      </w:r>
      <w:r w:rsidR="00252A33" w:rsidRPr="00336799">
        <w:t>5</w:t>
      </w:r>
      <w:r w:rsidRPr="00336799">
        <w:rPr>
          <w:b/>
        </w:rPr>
        <w:t xml:space="preserve"> </w:t>
      </w:r>
      <w:r w:rsidRPr="00336799">
        <w:t>sz</w:t>
      </w:r>
      <w:r w:rsidR="00266CFB">
        <w:t xml:space="preserve">t. kart SIM w taryfie do </w:t>
      </w:r>
      <w:proofErr w:type="spellStart"/>
      <w:r w:rsidR="00266CFB">
        <w:t>przesył</w:t>
      </w:r>
      <w:r w:rsidRPr="00336799">
        <w:t>u</w:t>
      </w:r>
      <w:proofErr w:type="spellEnd"/>
      <w:r w:rsidRPr="00336799">
        <w:t xml:space="preserve"> danych oraz minimum </w:t>
      </w:r>
      <w:r w:rsidR="00266CFB">
        <w:t xml:space="preserve"> </w:t>
      </w:r>
      <w:r w:rsidRPr="00336799">
        <w:t xml:space="preserve">3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52CC8B89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Przeniesienie</w:t>
      </w:r>
      <w:r w:rsidRPr="00336799">
        <w:rPr>
          <w:rStyle w:val="Odwoanieprzypisukocowego"/>
          <w:bCs/>
          <w:shd w:val="clear" w:color="auto" w:fill="FFFFFF"/>
        </w:rPr>
        <w:endnoteReference w:id="4"/>
      </w:r>
      <w:r w:rsidRPr="00336799">
        <w:t xml:space="preserve"> na wniosek Zamawiającego od dotychczasowego operatora do sieci Wykonawcy maksymalnie 137 użytkowanych przez Zamawiającego numerów MSISDN. Zamawiający obecnie korzysta z usług 1 operatora. Wykaz numerów podlegających przeniesieniu zostanie podany po podpisaniu umowy.</w:t>
      </w:r>
    </w:p>
    <w:p w14:paraId="0C11F88D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1"/>
          <w:b w:val="0"/>
        </w:rPr>
        <w:t>Przeniesienie</w:t>
      </w:r>
      <w:r w:rsidRPr="00336799"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14:paraId="40F26E26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Kursywa16"/>
          <w:b/>
          <w:i w:val="0"/>
          <w:iCs w:val="0"/>
          <w:shd w:val="clear" w:color="auto" w:fill="auto"/>
        </w:rPr>
      </w:pPr>
      <w:r w:rsidRPr="00336799"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opisana Rozdziale 5 </w:t>
      </w:r>
      <w:r w:rsidRPr="00336799">
        <w:rPr>
          <w:i/>
        </w:rPr>
        <w:t>(specyfikacja minimalnego zakresu usług telekomunikacyjnych).</w:t>
      </w:r>
      <w:r w:rsidRPr="00336799">
        <w:rPr>
          <w:b/>
        </w:rPr>
        <w:t xml:space="preserve"> </w:t>
      </w:r>
      <w:r w:rsidRPr="00336799">
        <w:t xml:space="preserve">Wykonawca zobowiązany jest do przeszkolenia pracowników Zamawiającego w terminie do 14 dni od dnia podpisania umowy w obsługi </w:t>
      </w:r>
      <w:proofErr w:type="spellStart"/>
      <w:r w:rsidRPr="00336799">
        <w:t>ww</w:t>
      </w:r>
      <w:proofErr w:type="spellEnd"/>
      <w:r w:rsidRPr="00336799">
        <w:t xml:space="preserve"> systemu / aplikacji</w:t>
      </w:r>
      <w:r w:rsidRPr="00336799">
        <w:rPr>
          <w:rStyle w:val="Odwoanieprzypisukocowego"/>
        </w:rPr>
        <w:endnoteReference w:id="5"/>
      </w:r>
      <w:r w:rsidRPr="00336799">
        <w:t>.</w:t>
      </w:r>
    </w:p>
    <w:p w14:paraId="1F1FC280" w14:textId="77777777" w:rsidR="007815D4" w:rsidRPr="00336799" w:rsidRDefault="007815D4" w:rsidP="00740C1E">
      <w:pPr>
        <w:pStyle w:val="Teksttreci1"/>
        <w:shd w:val="clear" w:color="auto" w:fill="auto"/>
        <w:spacing w:line="360" w:lineRule="auto"/>
        <w:ind w:firstLine="0"/>
        <w:jc w:val="both"/>
      </w:pPr>
    </w:p>
    <w:p w14:paraId="03089517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2</w:t>
      </w:r>
    </w:p>
    <w:p w14:paraId="7B4C4E05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TERMIN I MIEJSCE WYKONANIA ZAMÓWIENIA</w:t>
      </w:r>
    </w:p>
    <w:p w14:paraId="395A1E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515637B1" w14:textId="688481F9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Miejscem realizacji dostaw, o których mowa w Rozdziale 1</w:t>
      </w:r>
      <w:r w:rsidRPr="00336799">
        <w:rPr>
          <w:b/>
        </w:rPr>
        <w:t xml:space="preserve"> </w:t>
      </w:r>
      <w:r w:rsidRPr="00336799">
        <w:t xml:space="preserve">jest siedziba FRSE w Warszawie, </w:t>
      </w:r>
      <w:r w:rsidR="00C853E2">
        <w:t>02-305</w:t>
      </w:r>
      <w:r w:rsidRPr="00336799">
        <w:t xml:space="preserve"> Warszawa, </w:t>
      </w:r>
      <w:r w:rsidR="00C853E2">
        <w:t>aleje Jerozolimskie</w:t>
      </w:r>
      <w:r w:rsidRPr="00336799">
        <w:t xml:space="preserve"> </w:t>
      </w:r>
      <w:r w:rsidR="00C853E2">
        <w:t>142A</w:t>
      </w:r>
      <w:r w:rsidRPr="00336799">
        <w:t>.</w:t>
      </w:r>
    </w:p>
    <w:p w14:paraId="73A37164" w14:textId="6884EDE4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</w:t>
      </w:r>
      <w:r w:rsidR="00C853E2">
        <w:t xml:space="preserve"> wymienione w Rozdziale 1 pkt. 1</w:t>
      </w:r>
      <w:r w:rsidRPr="00336799">
        <w:t xml:space="preserve"> będą świadczone na terenie Polski i poza jej granicami.</w:t>
      </w:r>
    </w:p>
    <w:p w14:paraId="6041FF57" w14:textId="26B6D7DA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</w:t>
      </w:r>
      <w:r w:rsidR="00E13B39">
        <w:t xml:space="preserve"> wymienione w Rozdziale 1 pkt. 4, 5</w:t>
      </w:r>
      <w:r w:rsidRPr="00336799">
        <w:t xml:space="preserve"> będą świadczone na terenie Polski.</w:t>
      </w:r>
    </w:p>
    <w:p w14:paraId="5EED89BD" w14:textId="234FC361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lastRenderedPageBreak/>
        <w:t xml:space="preserve">Usługi telekomunikacyjne muszą zostać uruchomione w terminie do </w:t>
      </w:r>
      <w:r w:rsidR="00E13B39">
        <w:t>18</w:t>
      </w:r>
      <w:r w:rsidR="000D462A" w:rsidRPr="00336799">
        <w:t>.04.2016</w:t>
      </w:r>
      <w:r w:rsidRPr="00336799">
        <w:t xml:space="preserve"> r. i świadczone będą przez kolejnych 24 okresów rozliczeniowych (za okres rozliczeniowy przyjmuje się okres, za który wystawiana będzie faktura - jednak nie dłuższy od liczby dni w miesiącu kalendarzowym objętym danym rozliczeniem).</w:t>
      </w:r>
    </w:p>
    <w:p w14:paraId="59CA0F65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Zamawiający dopuszcza przerwę w świadczeniu usług, w chwili ewentualnego przenoszenia numerów do sieci Wykonawcy, jedynie w godzinach 00:00 – 03:00 w nocy.</w:t>
      </w:r>
    </w:p>
    <w:p w14:paraId="7AEDB4BF" w14:textId="2A5704F5" w:rsidR="00594D02" w:rsidRPr="00B80966" w:rsidRDefault="00594D02" w:rsidP="00B809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Przedmiot zamówienia polegający na świadczeniu usług telefonii komórkowej i bezprzewodowego dostępu do sieci Internet realizowany będzie przez 24 godziny na dobę, przez 7 dni w tygodniu, nie dłużej niż przez okres 24 miesięcy od dnia uruchomienia usługi.</w:t>
      </w:r>
    </w:p>
    <w:p w14:paraId="470FB00C" w14:textId="6765F0AF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Dostawa kart SIM, a także uruchomienie świadczenia usług, w ramach zastosowania prawa opcji, następować będzie w zależności od bieżących potrzeb Zamawiającego, nie później niż 10 dni roboczych od dnia złożenia przez Zamawiającego oświadczenia zawierającego szczegółowe informacje o zakresie świadczenia usług i dostaw.</w:t>
      </w:r>
    </w:p>
    <w:p w14:paraId="65910916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08166D62" w14:textId="2D116C24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0D462A" w:rsidRPr="00336799">
        <w:rPr>
          <w:b/>
        </w:rPr>
        <w:t>3</w:t>
      </w:r>
    </w:p>
    <w:p w14:paraId="3F92BF65" w14:textId="106E6378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OBECNY PROFIL UŻYTKOWNIKA</w:t>
      </w:r>
    </w:p>
    <w:p w14:paraId="7BC560A7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Zamawiający posiada obecnie 137 aktywnych numerów MSISDN (107 w taryfie głosowej, 30 w taryfie dane), aktywnych w sieci  Orange. Wykonawca będzie zobowiązany do przeniesienia do własnej sieci ww. numerów</w:t>
      </w:r>
      <w:r w:rsidRPr="00336799">
        <w:rPr>
          <w:rStyle w:val="Odwoanieprzypisukocowego"/>
          <w:rFonts w:ascii="Times New Roman" w:hAnsi="Times New Roman" w:cs="Times New Roman"/>
        </w:rPr>
        <w:endnoteReference w:id="6"/>
      </w:r>
      <w:r w:rsidRPr="00336799">
        <w:rPr>
          <w:rFonts w:ascii="Times New Roman" w:hAnsi="Times New Roman" w:cs="Times New Roman"/>
        </w:rPr>
        <w:t xml:space="preserve">. </w:t>
      </w:r>
    </w:p>
    <w:p w14:paraId="5E19D423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EC2B18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Dotychczasowe średnie zużycie poszczególnych typów usług w skali miesiąca wynosi:</w:t>
      </w:r>
    </w:p>
    <w:p w14:paraId="423DEC2B" w14:textId="75D97492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(</w:t>
      </w:r>
      <w:r w:rsidR="00A378CA" w:rsidRPr="00336799">
        <w:rPr>
          <w:rFonts w:ascii="Times New Roman" w:hAnsi="Times New Roman" w:cs="Times New Roman"/>
        </w:rPr>
        <w:t xml:space="preserve">Przykładowy reprezentatywny </w:t>
      </w:r>
      <w:r w:rsidR="003F3B5F" w:rsidRPr="00336799">
        <w:rPr>
          <w:rFonts w:ascii="Times New Roman" w:hAnsi="Times New Roman" w:cs="Times New Roman"/>
        </w:rPr>
        <w:t>miesiąc</w:t>
      </w:r>
      <w:r w:rsidRPr="00336799">
        <w:rPr>
          <w:rFonts w:ascii="Times New Roman" w:hAnsi="Times New Roman" w:cs="Times New Roman"/>
        </w:rPr>
        <w:t>)</w:t>
      </w:r>
    </w:p>
    <w:p w14:paraId="6E32D578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E684148" w14:textId="498DAAC1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>Krajowe</w:t>
      </w:r>
    </w:p>
    <w:p w14:paraId="6A26B3F4" w14:textId="4EF443D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3395 sztuk;</w:t>
      </w:r>
    </w:p>
    <w:p w14:paraId="416D8356" w14:textId="77C53D72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Połączenia do sieci komórkowych i stacjonarnych – 5383 minut;</w:t>
      </w:r>
    </w:p>
    <w:p w14:paraId="509D32D5" w14:textId="3693F1E5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62 sztuk;</w:t>
      </w:r>
    </w:p>
    <w:p w14:paraId="263EEBC2" w14:textId="22DB45F9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Transmisja danych – 159 GB;</w:t>
      </w:r>
    </w:p>
    <w:p w14:paraId="6FAD80CB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30449E6" w14:textId="02CDFE6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336799">
        <w:rPr>
          <w:rFonts w:ascii="Times New Roman" w:hAnsi="Times New Roman" w:cs="Times New Roman"/>
          <w:b/>
        </w:rPr>
        <w:t>Roaming</w:t>
      </w:r>
      <w:proofErr w:type="spellEnd"/>
    </w:p>
    <w:p w14:paraId="0BDACB4D" w14:textId="6F2897E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Rozmowy – 207 minut;</w:t>
      </w:r>
    </w:p>
    <w:p w14:paraId="58DE9C8C" w14:textId="02937E5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204 sztuk;</w:t>
      </w:r>
    </w:p>
    <w:p w14:paraId="05B4C26D" w14:textId="59A530D0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23 sztuk;</w:t>
      </w:r>
    </w:p>
    <w:p w14:paraId="51183587" w14:textId="0D43430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(świat) – 6 sztuk;</w:t>
      </w:r>
    </w:p>
    <w:p w14:paraId="4CD4D7E2" w14:textId="65847D4F" w:rsidR="00594D02" w:rsidRPr="00D712BA" w:rsidRDefault="00A378CA" w:rsidP="00D71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(UE) – 18 sztuk;</w:t>
      </w:r>
    </w:p>
    <w:p w14:paraId="1C6AE1C7" w14:textId="51FB6FA1" w:rsidR="00594D02" w:rsidRPr="00336799" w:rsidRDefault="00336799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4</w:t>
      </w:r>
    </w:p>
    <w:p w14:paraId="4B645F9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lastRenderedPageBreak/>
        <w:t>SPECYFIKACJA MINIMALNEGO ZAKRESU USŁUG TELEKOMUNIKACYJNYCH</w:t>
      </w:r>
    </w:p>
    <w:p w14:paraId="64B4FF7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0EB8AA75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Style w:val="Teksttreci9pt14"/>
          <w:i w:val="0"/>
          <w:iCs w:val="0"/>
          <w:sz w:val="22"/>
          <w:szCs w:val="22"/>
          <w:shd w:val="clear" w:color="auto" w:fill="auto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ogólne</w:t>
      </w:r>
    </w:p>
    <w:p w14:paraId="5D700F83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336799">
        <w:t>roamingowych</w:t>
      </w:r>
      <w:proofErr w:type="spellEnd"/>
      <w:r w:rsidRPr="00336799">
        <w:t xml:space="preserve"> zgodnie z warunkami </w:t>
      </w:r>
      <w:proofErr w:type="spellStart"/>
      <w:r w:rsidRPr="00336799">
        <w:t>Eurotaryfy</w:t>
      </w:r>
      <w:proofErr w:type="spellEnd"/>
      <w:r w:rsidRPr="00336799">
        <w:t xml:space="preserve">. W przypadku pakietowej transmisji danych naliczanie (taryfikowanie) powinno następować maksymalnie co 10 </w:t>
      </w:r>
      <w:proofErr w:type="spellStart"/>
      <w:r w:rsidRPr="00336799">
        <w:t>kB</w:t>
      </w:r>
      <w:proofErr w:type="spellEnd"/>
      <w:r w:rsidRPr="00336799">
        <w:t xml:space="preserve">. </w:t>
      </w:r>
    </w:p>
    <w:p w14:paraId="2F0FF998" w14:textId="2EF71CC5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Plany taryfowe powinny przedstawiać się następująco: </w:t>
      </w:r>
    </w:p>
    <w:p w14:paraId="12E7105E" w14:textId="5917821D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>plan musi być oparty na jednolitym abonamencie dla wszystkich obecnych i przyszłych użytkowników</w:t>
      </w:r>
      <w:r w:rsidR="004D38B1" w:rsidRPr="00336799">
        <w:t xml:space="preserve"> zarówno w taryfie głosowej jak i </w:t>
      </w:r>
      <w:proofErr w:type="spellStart"/>
      <w:r w:rsidR="004D38B1" w:rsidRPr="00336799">
        <w:t>przesyłu</w:t>
      </w:r>
      <w:proofErr w:type="spellEnd"/>
      <w:r w:rsidR="004D38B1" w:rsidRPr="00336799">
        <w:t xml:space="preserve"> danych</w:t>
      </w:r>
      <w:r w:rsidRPr="00336799">
        <w:t>.</w:t>
      </w:r>
    </w:p>
    <w:p w14:paraId="456B98F3" w14:textId="77777777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Połączenia w ramach sieci korporacyjnej należy wliczyć w koszt opłaty abonamentowej. </w:t>
      </w:r>
    </w:p>
    <w:p w14:paraId="4BD781F6" w14:textId="00BE84B9" w:rsidR="00594D02" w:rsidRPr="00336799" w:rsidRDefault="004D38B1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Dostęp do wspólnej dla wszystkich użytkowników puli GB na </w:t>
      </w:r>
      <w:proofErr w:type="spellStart"/>
      <w:r w:rsidRPr="00336799">
        <w:t>przesył</w:t>
      </w:r>
      <w:proofErr w:type="spellEnd"/>
      <w:r w:rsidRPr="00336799">
        <w:t xml:space="preserve"> danych zostanie wliczony w koszt opłaty abonamentowej. </w:t>
      </w:r>
    </w:p>
    <w:p w14:paraId="25A1927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720" w:firstLine="0"/>
        <w:jc w:val="both"/>
      </w:pPr>
      <w:r w:rsidRPr="00336799">
        <w:t xml:space="preserve">Koszty aktywacji kart SIM powinny zostać wkalkulowane w cenę opłaty abonamentowej. </w:t>
      </w:r>
    </w:p>
    <w:p w14:paraId="427D69E7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14:paraId="60548800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>Wykonawca zagwarantuje, że przez cały okres obowiązywania Umowy nie podniesie Zamawiającemu zaoferowanych stawek (w wartościach netto) w tej taryfie, ewentualnie je obniży.</w:t>
      </w:r>
    </w:p>
    <w:p w14:paraId="25F253F9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zagwarantuje, że przez cały okres obowiązywania Umowy dla połączeń w </w:t>
      </w:r>
      <w:proofErr w:type="spellStart"/>
      <w:r w:rsidRPr="00336799">
        <w:t>roamingu</w:t>
      </w:r>
      <w:proofErr w:type="spellEnd"/>
      <w:r w:rsidRPr="00336799">
        <w:t xml:space="preserve"> będzie miała zastosowanie aktualna </w:t>
      </w:r>
      <w:proofErr w:type="spellStart"/>
      <w:r w:rsidRPr="00336799">
        <w:t>Eurotaryfa</w:t>
      </w:r>
      <w:proofErr w:type="spellEnd"/>
      <w:r w:rsidRPr="00336799">
        <w:t>.</w:t>
      </w:r>
    </w:p>
    <w:p w14:paraId="5C8C477B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umożliwi sprawdzanie z telefonu komórkowego stanu własnego rachunku przez danego użytkownika, np. </w:t>
      </w:r>
      <w:proofErr w:type="spellStart"/>
      <w:r w:rsidRPr="00336799">
        <w:t>sms-em</w:t>
      </w:r>
      <w:proofErr w:type="spellEnd"/>
      <w:r w:rsidRPr="00336799">
        <w:t xml:space="preserve"> lub dzwoniąc na podany bezpłatny numer.</w:t>
      </w:r>
    </w:p>
    <w:p w14:paraId="0C9F133A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Aktywacja/dezaktywacja usługi </w:t>
      </w:r>
      <w:proofErr w:type="spellStart"/>
      <w:r w:rsidRPr="00336799">
        <w:t>romingu</w:t>
      </w:r>
      <w:proofErr w:type="spellEnd"/>
      <w:r w:rsidRPr="00336799">
        <w:t xml:space="preserve"> dla każdego numeru będzie bezpłatna.</w:t>
      </w:r>
    </w:p>
    <w:p w14:paraId="4DB14DD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360" w:firstLine="0"/>
        <w:jc w:val="both"/>
      </w:pPr>
    </w:p>
    <w:p w14:paraId="2605278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" w:name="bookmark51"/>
      <w:r w:rsidRPr="00336799">
        <w:rPr>
          <w:rFonts w:ascii="Times New Roman" w:hAnsi="Times New Roman" w:cs="Times New Roman"/>
          <w:sz w:val="22"/>
          <w:szCs w:val="22"/>
        </w:rPr>
        <w:t>Wymagania dotyczące przenoszenia numerów</w:t>
      </w:r>
      <w:bookmarkEnd w:id="1"/>
    </w:p>
    <w:p w14:paraId="2ECA0C68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Przeniesienie do sieci Wykonawcy, obecnie użytkowanych przez Zamawiającego numerów telefonów oraz przeniesienie numerów telefonów, które będą użytkowane przez Zamawiającego, w wyniku przejęcia ich na podstawie cesji, w trakcie trwania umowy zawartej w niniejszym postępowaniu, odbędzie się na zasadach ogólnie stosowanych przy świadczeniu usług telekomunikacyjnych (zachowanie dotychczasowych numerów </w:t>
      </w:r>
      <w:r w:rsidRPr="00336799">
        <w:lastRenderedPageBreak/>
        <w:t>MSISDN). Zamawiający dopuszcza przerwę w świadczeniu usług, w chwili ewentualnego przenoszenia numerów do sieci Wykonawcy, jedynie w godzinach 00:00 – 03:00 w nocy.</w:t>
      </w:r>
    </w:p>
    <w:p w14:paraId="184ACB9F" w14:textId="6E99988C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Świadczenie usług telekomunikacyjnych na warunkach umowy zawartej w wyniku przeprowadzenia niniejszego postępowania rozpocznie się dla numerów telefonów przenoszonych na wniosek Zamawiającego do sieci Wykonawcy w okr</w:t>
      </w:r>
      <w:r w:rsidR="00E13B39">
        <w:t xml:space="preserve">esie trwania umowy (Roz. 5 pkt </w:t>
      </w:r>
      <w:r w:rsidRPr="00336799">
        <w:t>) - od dnia wskazanego we wniosku. Zamawiający zobowiązuje się, że wniosek, o którym mowa powyżej zostanie dostarczon</w:t>
      </w:r>
      <w:r w:rsidR="00E13B39">
        <w:t>y Wykonawcy nie później niż na 5</w:t>
      </w:r>
      <w:r w:rsidRPr="00336799">
        <w:t xml:space="preserve"> dni kalendarzowych przed rozpoczęciem świadczenia usługi.</w:t>
      </w:r>
    </w:p>
    <w:p w14:paraId="08726470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</w:pPr>
      <w:r w:rsidRPr="00336799">
        <w:t>Przenoszone numery muszą zostać włączone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do usługi grupy zamkniętej GZ-FRSE.</w:t>
      </w:r>
    </w:p>
    <w:p w14:paraId="2783CFB7" w14:textId="42DB5304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celu rozpoczęcia świadczenia usłu</w:t>
      </w:r>
      <w:r w:rsidR="00E13B39">
        <w:t>g, o których mowa w Roz. 1 pkt 5</w:t>
      </w:r>
      <w:r w:rsidRPr="00336799">
        <w:t xml:space="preserve"> dla numerów telefonów, które będą użytkowane przez Zamawiającego, w wyniku przejęcia ich na podstawie cesji</w:t>
      </w:r>
      <w:r w:rsidRPr="00336799">
        <w:rPr>
          <w:rStyle w:val="Odwoanieprzypisukocowego"/>
        </w:rPr>
        <w:endnoteReference w:id="7"/>
      </w:r>
      <w:r w:rsidRPr="00336799">
        <w:t>, w trakcie trwania umowy zawartej w niniejszym postępowaniu, Wykonawca musi dostarczyć SIM</w:t>
      </w:r>
      <w:r w:rsidR="00E13B39">
        <w:t>.</w:t>
      </w:r>
      <w:r w:rsidRPr="00336799">
        <w:t xml:space="preserve"> </w:t>
      </w:r>
    </w:p>
    <w:p w14:paraId="06C46DB6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dla numerów włączonych do umowy w trakcie jej trwania na zasadach opisanych w pkt 4 będą świadczone w zakresie i terminie tożsamym dla całej umowy. </w:t>
      </w:r>
    </w:p>
    <w:p w14:paraId="38B18482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związku z możliwymi zmianami kadrowymi, Zamawiający zastrzega sobie możliwość przeniesienia, w dowolnym momencie trwania niniejszej umowy, na podstawie cesji dowolnego z numerów objętych umową (maksymalnie 10 numerów) na inną osobę fizyczną lub prawną. Po przeniesieniu numer taki musi zostać odłączony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od GZ-FRSE. Nowe warunki świadczenia usług po dokonaniu cesji określą pomiędzy sobą Wykonawca oraz osoba fizyczna lub prawna na którą dokonana zostanie cesja.</w:t>
      </w:r>
    </w:p>
    <w:p w14:paraId="0D353B35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</w:pPr>
    </w:p>
    <w:p w14:paraId="4E2D1AC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szczegółowe dotyczące świadczenia usługi grupa zamknięta (GZ-FRSE)</w:t>
      </w:r>
    </w:p>
    <w:p w14:paraId="3368F273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Wykonawca musi włączyć wszystkie objęte niniejszym postępowaniem numery telefonów komórkowych Zamawiającego do GZ-FRSE.</w:t>
      </w:r>
    </w:p>
    <w:p w14:paraId="5C29FB6B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Usługa GZ-FRSE musi się charakteryzować następującymi parametrami:</w:t>
      </w:r>
    </w:p>
    <w:p w14:paraId="519F2950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głosowe w ramach GZ-FRSE w wielkości minimum 2000 minut dla każdego numeru telefonu w danym okresie rozliczeniowym w ramach abonamentu,</w:t>
      </w:r>
    </w:p>
    <w:p w14:paraId="6200BC0D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z telefonów komórkowych Zamawiającego, a telefonem stacjonarnym (+48 22 46 31 000) obsługiwanym przez centralę telefoniczną w siedzibie FRSE będą odbywać się na warunkach GZ-FRSE,</w:t>
      </w:r>
    </w:p>
    <w:p w14:paraId="513B1E55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 xml:space="preserve">Zamawiający zastrzega sobie możliwość modyfikowania  numeru telefonu stacjonarnego dołączonego do GZ-FRSE, o każdej zmianie Wykonawca zostanie </w:t>
      </w:r>
      <w:r w:rsidRPr="00336799">
        <w:lastRenderedPageBreak/>
        <w:t>poinformowany pisemnie a zmiany mają być wprowadzane przez Wykonawcę we własnych systemach telekomunikacyjnych niezwłocznie po otrzymaniu tej informacji jednak nie później niż w ciągu 7 dni kalendarzowych.</w:t>
      </w:r>
    </w:p>
    <w:p w14:paraId="64077406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Naliczanie (taryfikowanie) czasu trwania połączeń głosowych musi następować co 1 (jedną) sekundę.</w:t>
      </w:r>
    </w:p>
    <w:p w14:paraId="0CFAFF85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w ramach GZ-FRSE będą świadczone na terenie Polski.</w:t>
      </w:r>
    </w:p>
    <w:p w14:paraId="14295607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10D613AD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usług bezprzewodowej transmisji danych</w:t>
      </w:r>
    </w:p>
    <w:p w14:paraId="7FBD921C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bezprzewodowej transmisji danych będą świadczone za pośrednictwem:</w:t>
      </w:r>
    </w:p>
    <w:p w14:paraId="269B3A34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telefonów komórkowych;</w:t>
      </w:r>
    </w:p>
    <w:p w14:paraId="2C14A473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routerów GSM;</w:t>
      </w:r>
    </w:p>
    <w:p w14:paraId="2EF5952A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modemów GSM;</w:t>
      </w:r>
    </w:p>
    <w:p w14:paraId="1E682761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tabletów GSM.</w:t>
      </w:r>
    </w:p>
    <w:p w14:paraId="1CBB73C8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musi świadczyć usługę bezprzewodowej transmisji danych w standardzie LTE. </w:t>
      </w:r>
    </w:p>
    <w:p w14:paraId="5E557454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bezprzewodowej transmisji danych będą świadczone na wszystkich kartach SIM w taryfie głosowej oraz kartach SIM w taryfie dane. </w:t>
      </w:r>
    </w:p>
    <w:p w14:paraId="0F5CAEF5" w14:textId="445D0E5E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Zamawiający wymaga aby świadczenie usług bezprzewodowej transmisji danych w kraju, dla aktywacji w taryfie głosowej, odbywało się poprzez fakultatywne pakiety po </w:t>
      </w:r>
      <w:r w:rsidR="00E13B39">
        <w:t>10</w:t>
      </w:r>
      <w:r w:rsidRPr="00336799">
        <w:t xml:space="preserve"> GB z możliwością przypisania dowolnej ilości takich pakietów do konkretnego numeru MSISDN.</w:t>
      </w:r>
    </w:p>
    <w:p w14:paraId="71B0AAD1" w14:textId="40FD0C48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za granicą odbywało się poprzez pakiety po 100, 300, 500 MB</w:t>
      </w:r>
      <w:r w:rsidR="00E13B39">
        <w:t xml:space="preserve"> i 1 GB</w:t>
      </w:r>
      <w:r w:rsidRPr="00336799">
        <w:t xml:space="preserve"> z możliwością przypisania kilku takich pakietów równolegle do konkretnego numeru MSISDN. Zamawiający dopuszcza rozróżnienie pakietów na UE i pozostałe kraje.</w:t>
      </w:r>
    </w:p>
    <w:p w14:paraId="21960E83" w14:textId="46CD01B8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danych w kraju, dla aktywacji w taryfie transferu danych, odbywało się w ramach limitu przesłanych danych indywidualnego dla każdego numeru..</w:t>
      </w:r>
    </w:p>
    <w:p w14:paraId="14B7715D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przeznaczy dodatkowo do podziału na wszystkie numery zaproponowaną pulę GB do dynamicznego podziału między użytkowników, którzy w pierwszej kolejności wykorzystają przypisane pakiety, </w:t>
      </w:r>
      <w:proofErr w:type="spellStart"/>
      <w:r w:rsidRPr="00336799">
        <w:t>ww</w:t>
      </w:r>
      <w:proofErr w:type="spellEnd"/>
      <w:r w:rsidRPr="00336799">
        <w:t xml:space="preserve"> pula GB będzie rozliczana jako opłata miesięczna. Wykonawca uwzględni koszt </w:t>
      </w:r>
      <w:proofErr w:type="spellStart"/>
      <w:r w:rsidRPr="00336799">
        <w:t>ww</w:t>
      </w:r>
      <w:proofErr w:type="spellEnd"/>
      <w:r w:rsidRPr="00336799">
        <w:t xml:space="preserve"> puli w opłacie abonamentowej. Wielkość zaproponowanej puli będzie jednym z kryteriów oceny oferty. Po przekroczeniu limitu w danym okresie rozliczeniowym Zamawiający dopuszcza obniżenie prędkości transmisji danych bez dodatkowych opłat dla Zamawiającego.</w:t>
      </w:r>
    </w:p>
    <w:p w14:paraId="5C84B1FC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9ACE909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lastRenderedPageBreak/>
        <w:t>Wymagania szczegółowe dotyczące zarządzania usługami telekomunikacyjnymi</w:t>
      </w:r>
    </w:p>
    <w:p w14:paraId="2974EBF7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umożliwić Zamawiającemu w okresie trwania umowy dostęp do dedykowanego konsultanta w dni robocze w godzinach 8-16, oraz zapewnić całodobowy dostęp do infolinii (Biura Obsługi Klienta).</w:t>
      </w:r>
    </w:p>
    <w:p w14:paraId="058D3994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Zarządzanie usługami telekomunikacyjnymi przy udziale dedykowanego konsultanta Wykonawcy odbywać się będzie bez dodatkowych opłat.</w:t>
      </w:r>
    </w:p>
    <w:p w14:paraId="15E683E3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14:paraId="475E59E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w faktury oraz rachunki szczegółowe poszczególnych numerów za dany okres rozliczeniowy;</w:t>
      </w:r>
    </w:p>
    <w:p w14:paraId="09AAF258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do danych bilingowych za dowolny okres od daty do daty:</w:t>
      </w:r>
    </w:p>
    <w:p w14:paraId="7E1FD92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szczegółowe rozliczenie usług danego numeru w zadanym okresie;</w:t>
      </w:r>
    </w:p>
    <w:p w14:paraId="26D9CBE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weryfikację uruchomionych usług na danym numerze;</w:t>
      </w:r>
    </w:p>
    <w:p w14:paraId="0C708C7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pobranie informacji o kosztach bieżących, odnoszących się do poszczególnych numerów telefonów, od ostatniej faktury lub kwoty ostatniej zaksięgowanej wpłaty;</w:t>
      </w:r>
    </w:p>
    <w:p w14:paraId="54C9EE33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336799">
        <w:t>csv</w:t>
      </w:r>
      <w:proofErr w:type="spellEnd"/>
      <w:r w:rsidRPr="00336799">
        <w:t>, xls);</w:t>
      </w:r>
    </w:p>
    <w:p w14:paraId="61C3F81C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różnicowanie uprawnień w aplikacji dla poszczególnych użytkowników na poziomie funkcjonalności i grup;</w:t>
      </w:r>
    </w:p>
    <w:p w14:paraId="3612455B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dokonanie czasowego lub stałego blokowania i odblokowania usług dla numeru telefonu.</w:t>
      </w:r>
    </w:p>
    <w:p w14:paraId="75FB7F35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14:paraId="1ECAB20B" w14:textId="77777777" w:rsidR="00594D02" w:rsidRPr="00336799" w:rsidRDefault="00594D02" w:rsidP="003832E1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611D0917" w14:textId="464072D5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5</w:t>
      </w:r>
    </w:p>
    <w:p w14:paraId="31F2A0E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DOSTAW</w:t>
      </w:r>
    </w:p>
    <w:p w14:paraId="7B805E5B" w14:textId="77777777" w:rsidR="00594D02" w:rsidRPr="00336799" w:rsidRDefault="00594D02" w:rsidP="00D712BA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  <w:rPr>
          <w:b/>
        </w:rPr>
      </w:pPr>
    </w:p>
    <w:p w14:paraId="06B0C66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kart SIM</w:t>
      </w:r>
    </w:p>
    <w:p w14:paraId="46B8A600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karty SIM:</w:t>
      </w:r>
    </w:p>
    <w:p w14:paraId="34C53181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nie muszą być aktywne; aktywacja nastąpi niezwłocznie po podpisaniu protokołu odbioru kart przez Zamawiającego;</w:t>
      </w:r>
    </w:p>
    <w:p w14:paraId="0C090419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muszą być zabezpieczane przed uruchomieniem minimum czterocyfrowym kodem PIN;</w:t>
      </w:r>
    </w:p>
    <w:p w14:paraId="50EEEB9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trzykrotnego, błędnego wprowadzenia kodu PIN muszą być samoczynnie blokowane. Odblokowanie musi nastąpić po wprowadzeniu kodu PUK;</w:t>
      </w:r>
    </w:p>
    <w:p w14:paraId="78D064F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6DBDDCD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serwisowe karty SIM:</w:t>
      </w:r>
    </w:p>
    <w:p w14:paraId="27CD71FB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nieaktywne;</w:t>
      </w:r>
    </w:p>
    <w:p w14:paraId="0F9A703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32D0CDF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0F7B7074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Aktywacja serwisowych kart SIM:</w:t>
      </w:r>
    </w:p>
    <w:p w14:paraId="0D95CA31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załączy do oferty szczegółową procedurę aktywacji serwisowych kart SIM;</w:t>
      </w:r>
    </w:p>
    <w:p w14:paraId="467A682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bezpłatna aktywacja serwisowej karty SIM musi się odbyć w ciągu co najwyżej dwóch godzin od zgłoszenia do Wykonawcy;</w:t>
      </w:r>
    </w:p>
    <w:p w14:paraId="60FB9742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aktywacji serwisowa karta SIM musi mieć parametry takie jak dostarczone aktywne karty SIM;</w:t>
      </w:r>
    </w:p>
    <w:p w14:paraId="2EE6A40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dostarczy bezpłatnie na wniosek Zamawiającego nową serwisową kartę SIM w miejsce serwisowej karty SIM, która stała się kartą aktywną po jej uruchomieniu.</w:t>
      </w:r>
    </w:p>
    <w:p w14:paraId="61308832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Uszkodzone karty SIM nie podlegają zwrotowi do Wykonawcy.</w:t>
      </w:r>
    </w:p>
    <w:p w14:paraId="1DE5E19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 bezpłatną wymianę kart SIM na nowe w przypadku jej blokady, uszkodzenia, zagubienia bądź kradzieży.</w:t>
      </w:r>
    </w:p>
    <w:p w14:paraId="170B7E1A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bezprzewodowej transmisji danych umożliwiały korzystanie z pozostałych usług jednak karty te muszą mieć domyślnie zablokowaną możliwość wykonywania połączeń głosowych i wysyłania wiadomości SMS i MMS, oraz </w:t>
      </w:r>
      <w:proofErr w:type="spellStart"/>
      <w:r w:rsidRPr="00336799">
        <w:t>roaming</w:t>
      </w:r>
      <w:proofErr w:type="spellEnd"/>
      <w:r w:rsidRPr="00336799">
        <w:t xml:space="preserve"> z możliwością ich odblokowania w razie potrzeby przez lub na wniosek Zamawiającego.</w:t>
      </w:r>
    </w:p>
    <w:p w14:paraId="2EF159AD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Pr="00336799">
        <w:t>roaming</w:t>
      </w:r>
      <w:proofErr w:type="spellEnd"/>
      <w:r w:rsidRPr="00336799">
        <w:t xml:space="preserve"> powinien być uruchomiony.</w:t>
      </w:r>
    </w:p>
    <w:p w14:paraId="41C7C856" w14:textId="77777777" w:rsidR="00E13B39" w:rsidRPr="00336799" w:rsidRDefault="00E13B39" w:rsidP="00D712BA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3C2CE82C" w14:textId="6AB924BF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6</w:t>
      </w:r>
    </w:p>
    <w:p w14:paraId="21D3AFDC" w14:textId="2C01B1F1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PRAWO OPCJI</w:t>
      </w:r>
    </w:p>
    <w:p w14:paraId="04AA442A" w14:textId="77777777" w:rsidR="003832E1" w:rsidRPr="00336799" w:rsidRDefault="003832E1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565DBA33" w14:textId="285D5293" w:rsidR="00FD2CBF" w:rsidRPr="00336799" w:rsidRDefault="00FD2CBF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lastRenderedPageBreak/>
        <w:t>Wykonawca zobowiązany będzie, w ramach zamówienia opcjonalnego, do świadczenia usług telefonii komórkowej i Internetu bezprzewodowego, a także do dostawy kart SIM po cenie wskazanej w Formularzu ofertowym.</w:t>
      </w:r>
    </w:p>
    <w:p w14:paraId="758BF5A3" w14:textId="1F35A83F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Zamawiający zastrzega, iż prawo opcji jest jego </w:t>
      </w:r>
      <w:r w:rsidR="00336799">
        <w:rPr>
          <w:rStyle w:val="Teksttreci9pt14"/>
          <w:i w:val="0"/>
          <w:sz w:val="22"/>
          <w:szCs w:val="22"/>
        </w:rPr>
        <w:t xml:space="preserve">uprawnieniem, a nie obowiązkiem </w:t>
      </w:r>
      <w:r w:rsidRPr="00336799">
        <w:rPr>
          <w:rStyle w:val="Teksttreci9pt14"/>
          <w:i w:val="0"/>
          <w:sz w:val="22"/>
          <w:szCs w:val="22"/>
        </w:rPr>
        <w:t>Zamawiającego, co oznacza, że nie przysługuje żadne roszczenie w przypadku nieskorzystania przez Zamawiającego z prawa opcji.</w:t>
      </w:r>
    </w:p>
    <w:p w14:paraId="7BB510CC" w14:textId="14D63268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Zasady świadczenia Przedmiotu zamówienia realizowanego w ramach </w:t>
      </w:r>
      <w:r w:rsidR="00E03850" w:rsidRPr="00336799">
        <w:rPr>
          <w:rStyle w:val="Teksttreci9pt14"/>
          <w:i w:val="0"/>
          <w:sz w:val="22"/>
          <w:szCs w:val="22"/>
        </w:rPr>
        <w:t>opcji</w:t>
      </w:r>
      <w:r w:rsidRPr="00336799">
        <w:rPr>
          <w:rStyle w:val="Teksttreci9pt14"/>
          <w:i w:val="0"/>
          <w:sz w:val="22"/>
          <w:szCs w:val="22"/>
        </w:rPr>
        <w:t xml:space="preserve"> będą takie same jak te, które obowiązują przy realizacji Przedmiotu zamówienia.</w:t>
      </w:r>
    </w:p>
    <w:p w14:paraId="2F5EAB23" w14:textId="650F8A2A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Zamawiający może skorzystać z prawa opcji w przypadku m.in. konieczności </w:t>
      </w:r>
      <w:r w:rsidR="00D712BA">
        <w:rPr>
          <w:rStyle w:val="Teksttreci9pt14"/>
          <w:i w:val="0"/>
          <w:sz w:val="22"/>
          <w:szCs w:val="22"/>
        </w:rPr>
        <w:t>zwiększenia liczby użytkowników.</w:t>
      </w:r>
    </w:p>
    <w:p w14:paraId="36BF7831" w14:textId="12EB0A3F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o konieczności skorzystania z prawa opcji powiadomi Wykonawcę na piśmie, poprzez złożenie stosownego oświadczenia zawierającego szczegółowe informacje o zakresie świadczenia usług i dostaw.</w:t>
      </w:r>
    </w:p>
    <w:p w14:paraId="6C6A4F04" w14:textId="77777777" w:rsidR="00E13B39" w:rsidRDefault="00E13B39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2C3850E6" w14:textId="7A9A3E62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7</w:t>
      </w:r>
    </w:p>
    <w:p w14:paraId="07845D20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SERWISOWYCH</w:t>
      </w:r>
    </w:p>
    <w:p w14:paraId="7BF558B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0E5A0269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Serwisowanie i naprawa usług: głosowych, transmisji danych i innych</w:t>
      </w:r>
    </w:p>
    <w:p w14:paraId="2E1B2F04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zapewnić całodobowy nadzór nad funkcjonowaniem świadczonych usług telekomunikacyjnych.</w:t>
      </w:r>
    </w:p>
    <w:p w14:paraId="63E7811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Awarie lub usterki będą zgłaszane przez Zamawiającego na dane kontaktowe wskazane w umowie.</w:t>
      </w:r>
    </w:p>
    <w:p w14:paraId="435165D7" w14:textId="78FE7B8E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zapewnia bezpłatny serwis fun</w:t>
      </w:r>
      <w:r w:rsidR="00E13B39">
        <w:t>kcjonowania uruchomionych usług.</w:t>
      </w:r>
    </w:p>
    <w:p w14:paraId="24BCD24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14:paraId="7ADCD512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i zakończeniu), co najmniej z wyprzedzeniem 5 (pięciu) dni roboczych.</w:t>
      </w:r>
    </w:p>
    <w:p w14:paraId="04E71279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W przypadku wystąpienia awarii po stronie Wykonawcy, która może mieć wpływ na funkcjonowanie świadczonych w ramach Umowy usług, Wykonawca niezwłocznie poinformuje przedstawiciela Zamawiającego.</w:t>
      </w:r>
    </w:p>
    <w:p w14:paraId="2FBC540C" w14:textId="77777777"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20345DF4" w14:textId="77777777" w:rsidR="00D712BA" w:rsidRPr="00336799" w:rsidRDefault="00D712BA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66F10AA7" w14:textId="313F86B8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bookmarkStart w:id="2" w:name="bookmark77"/>
      <w:r w:rsidRPr="00336799">
        <w:rPr>
          <w:b/>
          <w:bCs/>
        </w:rPr>
        <w:t xml:space="preserve">Gwarancja oraz usługi serwisowe dostarczanych kart SIM </w:t>
      </w:r>
      <w:bookmarkEnd w:id="2"/>
    </w:p>
    <w:p w14:paraId="48328EA5" w14:textId="6D9F6522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udziela 24 miesięcznej gwarancji na dostarczone </w:t>
      </w:r>
      <w:r w:rsidR="00E13B39">
        <w:t>karty</w:t>
      </w:r>
      <w:r w:rsidRPr="00336799">
        <w:t xml:space="preserve"> SIM </w:t>
      </w:r>
    </w:p>
    <w:p w14:paraId="5547DD92" w14:textId="77777777" w:rsidR="003832E1" w:rsidRPr="00336799" w:rsidRDefault="003832E1" w:rsidP="007967BC">
      <w:pPr>
        <w:pStyle w:val="Teksttreci1"/>
        <w:shd w:val="clear" w:color="auto" w:fill="auto"/>
        <w:spacing w:line="360" w:lineRule="auto"/>
        <w:ind w:firstLine="0"/>
        <w:jc w:val="left"/>
      </w:pPr>
    </w:p>
    <w:p w14:paraId="07671E98" w14:textId="193CB697" w:rsidR="00A2673E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7967BC">
        <w:rPr>
          <w:b/>
        </w:rPr>
        <w:t>8</w:t>
      </w:r>
    </w:p>
    <w:p w14:paraId="0478F68A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SŁOWNIK</w:t>
      </w:r>
    </w:p>
    <w:p w14:paraId="2F96CBA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47106086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akcesoria</w:t>
      </w:r>
      <w:r w:rsidRPr="00336799">
        <w:t xml:space="preserve"> - zestaw dodatkowych elementów służących do eksploatacji telefonu komórkowego,</w:t>
      </w:r>
    </w:p>
    <w:p w14:paraId="5A53C2C1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blokada SIM LOCK-</w:t>
      </w:r>
      <w:r w:rsidRPr="00336799">
        <w:t xml:space="preserve"> blokada uniemożliwiająca wykorzystanie telefonu komórkowego lub modemu GSM w innej sieci telefonii komórkowej niż sieć Wykonawcy,</w:t>
      </w:r>
    </w:p>
    <w:p w14:paraId="5A634A4B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cena oferowana</w:t>
      </w:r>
      <w:r w:rsidRPr="00336799">
        <w:t xml:space="preserve"> - cena po uwzględnieniu upustów dla Zamawiającego,</w:t>
      </w:r>
    </w:p>
    <w:p w14:paraId="2E25F378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dane bilingowe</w:t>
      </w:r>
      <w:r w:rsidRPr="00336799"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14:paraId="00F9FC5E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karta SIM-</w:t>
      </w:r>
      <w:r w:rsidRPr="00336799">
        <w:t>(</w:t>
      </w:r>
      <w:proofErr w:type="spellStart"/>
      <w:r w:rsidRPr="00336799">
        <w:t>Subscriber</w:t>
      </w:r>
      <w:proofErr w:type="spellEnd"/>
      <w:r w:rsidRPr="00336799">
        <w:t xml:space="preserve"> Identity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 w:rsidRPr="00336799">
        <w:t xml:space="preserve"> dostępna w kilku rozmiarach – SIM, </w:t>
      </w:r>
      <w:proofErr w:type="spellStart"/>
      <w:r w:rsidR="00D71752" w:rsidRPr="00336799">
        <w:t>microSIM</w:t>
      </w:r>
      <w:proofErr w:type="spellEnd"/>
      <w:r w:rsidR="00D71752" w:rsidRPr="00336799">
        <w:t xml:space="preserve">, </w:t>
      </w:r>
      <w:proofErr w:type="spellStart"/>
      <w:r w:rsidR="00D71752" w:rsidRPr="00336799">
        <w:t>nanoSIM</w:t>
      </w:r>
      <w:proofErr w:type="spellEnd"/>
      <w:r w:rsidR="00D71752" w:rsidRPr="00336799">
        <w:t>,</w:t>
      </w:r>
    </w:p>
    <w:p w14:paraId="1153575A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grupa zamknięta (GZ-FRSE)</w:t>
      </w:r>
      <w:r w:rsidRPr="00336799"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14:paraId="454AC9D3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modem GSM</w:t>
      </w:r>
      <w:r w:rsidRPr="00336799">
        <w:t xml:space="preserve"> - urządzenie do </w:t>
      </w:r>
      <w:proofErr w:type="spellStart"/>
      <w:r w:rsidRPr="00336799">
        <w:t>przesyłu</w:t>
      </w:r>
      <w:proofErr w:type="spellEnd"/>
      <w:r w:rsidRPr="00336799">
        <w:t xml:space="preserve"> danych między siecią komórkową a komputerem,</w:t>
      </w:r>
    </w:p>
    <w:p w14:paraId="612D767C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router GSM</w:t>
      </w:r>
      <w:r w:rsidRPr="00336799">
        <w:t xml:space="preserve"> - urządzenie do </w:t>
      </w:r>
      <w:proofErr w:type="spellStart"/>
      <w:r w:rsidRPr="00336799">
        <w:t>przesyłu</w:t>
      </w:r>
      <w:proofErr w:type="spellEnd"/>
      <w:r w:rsidRPr="00336799">
        <w:t xml:space="preserve"> danych między siecią komórkową a wieloma komputerami (np. za pośrednictwem lokalnej sieci bezprzewodowej </w:t>
      </w:r>
      <w:proofErr w:type="spellStart"/>
      <w:r w:rsidRPr="00336799">
        <w:t>WiFi</w:t>
      </w:r>
      <w:proofErr w:type="spellEnd"/>
      <w:r w:rsidRPr="00336799">
        <w:t>),</w:t>
      </w:r>
    </w:p>
    <w:p w14:paraId="28275880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MSISDN</w:t>
      </w:r>
      <w:r w:rsidRPr="00336799">
        <w:rPr>
          <w:rStyle w:val="TeksttreciPogrubienie"/>
          <w:b w:val="0"/>
        </w:rPr>
        <w:t xml:space="preserve"> </w:t>
      </w:r>
      <w:r w:rsidRPr="00336799">
        <w:rPr>
          <w:b/>
        </w:rPr>
        <w:t xml:space="preserve">- </w:t>
      </w:r>
      <w:r w:rsidRPr="00336799">
        <w:rPr>
          <w:rStyle w:val="TeksttreciPogrubienie"/>
          <w:b w:val="0"/>
        </w:rPr>
        <w:t>numer telefonu</w:t>
      </w:r>
      <w:r w:rsidRPr="00336799">
        <w:t xml:space="preserve"> (Mobile </w:t>
      </w:r>
      <w:proofErr w:type="spellStart"/>
      <w:r w:rsidRPr="00336799">
        <w:t>Subscriber</w:t>
      </w:r>
      <w:proofErr w:type="spellEnd"/>
      <w:r w:rsidRPr="00336799">
        <w:t xml:space="preserve"> ISDN) - numer abonenta sieci komórkowej przechowywany na karcie SIM lub USIM znajdującej się w aparacie oraz po stronie sieci - w rejestrze abonentów macierzystych,</w:t>
      </w:r>
    </w:p>
    <w:p w14:paraId="216C3987" w14:textId="4FC3AA39" w:rsidR="006F6FBF" w:rsidRPr="00336799" w:rsidRDefault="006F6FBF" w:rsidP="007967BC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lastRenderedPageBreak/>
        <w:t>serwisowa karta SIM</w:t>
      </w:r>
      <w:r w:rsidRPr="00336799">
        <w:t xml:space="preserve"> - nie aktywowana karta SIM, bez przypisanego nr </w:t>
      </w:r>
      <w:r w:rsidR="009408E1" w:rsidRPr="00336799">
        <w:t>MSISDN</w:t>
      </w:r>
      <w:r w:rsidR="006E736B" w:rsidRPr="00336799">
        <w:t>, która w sytuacji utraty lub zniszczenia innej karty może ją zastąpić.</w:t>
      </w:r>
    </w:p>
    <w:sectPr w:rsidR="006F6FBF" w:rsidRPr="00336799" w:rsidSect="006F6FB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1677" w14:textId="77777777" w:rsidR="00B87822" w:rsidRDefault="00B87822" w:rsidP="007526C7">
      <w:pPr>
        <w:spacing w:after="0" w:line="240" w:lineRule="auto"/>
      </w:pPr>
      <w:r>
        <w:separator/>
      </w:r>
    </w:p>
  </w:endnote>
  <w:endnote w:type="continuationSeparator" w:id="0">
    <w:p w14:paraId="21304FF8" w14:textId="77777777" w:rsidR="00B87822" w:rsidRDefault="00B87822" w:rsidP="007526C7">
      <w:pPr>
        <w:spacing w:after="0" w:line="240" w:lineRule="auto"/>
      </w:pPr>
      <w:r>
        <w:continuationSeparator/>
      </w:r>
    </w:p>
  </w:endnote>
  <w:endnote w:id="1">
    <w:p w14:paraId="7C0A1E75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7967BC">
        <w:rPr>
          <w:sz w:val="16"/>
          <w:szCs w:val="16"/>
        </w:rPr>
        <w:t>Zamawiający przewiduje możliwość zmiany liczby użytkowanych numerów telefonów komórkowych, wynikającą z ruchów kadrowych u Zamawiającego (maksymalnie 5 numerów w trakcie trwania umowy)</w:t>
      </w:r>
    </w:p>
  </w:endnote>
  <w:endnote w:id="2">
    <w:p w14:paraId="2B3F5BD3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W przypadku dostawcy obecnie świadczącego usługi zachodzi obowiązek ewentualnego uzupełnienia stanu do określonej ilości.</w:t>
      </w:r>
    </w:p>
  </w:endnote>
  <w:endnote w:id="3">
    <w:p w14:paraId="38B28817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Jw.</w:t>
      </w:r>
    </w:p>
  </w:endnote>
  <w:endnote w:id="4">
    <w:p w14:paraId="341BBD69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5">
    <w:p w14:paraId="273E43EE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</w:t>
      </w:r>
      <w:proofErr w:type="spellStart"/>
      <w:r w:rsidRPr="007967BC">
        <w:rPr>
          <w:sz w:val="16"/>
          <w:szCs w:val="16"/>
        </w:rPr>
        <w:t>Jw</w:t>
      </w:r>
      <w:proofErr w:type="spellEnd"/>
      <w:r w:rsidRPr="007967BC">
        <w:rPr>
          <w:sz w:val="16"/>
          <w:szCs w:val="16"/>
        </w:rPr>
        <w:t>, jeżeli nie planuje istotnych zmian w funkcjonującej aplikacji.</w:t>
      </w:r>
    </w:p>
  </w:endnote>
  <w:endnote w:id="6">
    <w:p w14:paraId="1AC0D2B0" w14:textId="77777777" w:rsidR="00A378CA" w:rsidRPr="007967BC" w:rsidRDefault="00A378CA" w:rsidP="00594D02">
      <w:pPr>
        <w:pStyle w:val="Tekstprzypisukocowego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7">
    <w:p w14:paraId="725F5984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Zamawiający przewiduje możliwość zmiany liczby użytkowanych numerów telefonów komórkowych, wynikającą w wyniku przejęcia ich na podstawie cesji, w trakcie trwania umowy zawartej w niniejszym postępowaniu (maksymalnie 5 numerów w trakcie trwania umowy).</w:t>
      </w:r>
    </w:p>
    <w:p w14:paraId="4EFA03E7" w14:textId="77777777" w:rsidR="00A378CA" w:rsidRDefault="00A378CA" w:rsidP="00594D0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06238"/>
      <w:docPartObj>
        <w:docPartGallery w:val="Page Numbers (Bottom of Page)"/>
        <w:docPartUnique/>
      </w:docPartObj>
    </w:sdtPr>
    <w:sdtEndPr/>
    <w:sdtContent>
      <w:p w14:paraId="3505576A" w14:textId="77777777" w:rsidR="00A378CA" w:rsidRDefault="00A378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B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F75746" w14:textId="77777777" w:rsidR="00A378CA" w:rsidRDefault="00A37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86CF" w14:textId="77777777" w:rsidR="00B87822" w:rsidRDefault="00B87822" w:rsidP="007526C7">
      <w:pPr>
        <w:spacing w:after="0" w:line="240" w:lineRule="auto"/>
      </w:pPr>
      <w:r>
        <w:separator/>
      </w:r>
    </w:p>
  </w:footnote>
  <w:footnote w:type="continuationSeparator" w:id="0">
    <w:p w14:paraId="7F23F634" w14:textId="77777777" w:rsidR="00B87822" w:rsidRDefault="00B87822" w:rsidP="007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9ED8" w14:textId="6AD7BE9B" w:rsidR="00026B79" w:rsidRDefault="00026B79" w:rsidP="00026B79">
    <w:pPr>
      <w:adjustRightInd w:val="0"/>
      <w:jc w:val="right"/>
      <w:rPr>
        <w:i/>
      </w:rPr>
    </w:pPr>
    <w:r>
      <w:rPr>
        <w:i/>
      </w:rPr>
      <w:t>Załącznik nr 1</w:t>
    </w:r>
    <w:r>
      <w:rPr>
        <w:i/>
      </w:rPr>
      <w:t xml:space="preserve"> do zapytania ofertowego</w:t>
    </w:r>
  </w:p>
  <w:p w14:paraId="024DD974" w14:textId="77777777" w:rsidR="00026B79" w:rsidRDefault="00026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5A8"/>
    <w:multiLevelType w:val="hybridMultilevel"/>
    <w:tmpl w:val="7FA0B2D2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1F50044E"/>
    <w:multiLevelType w:val="hybridMultilevel"/>
    <w:tmpl w:val="772A0308"/>
    <w:lvl w:ilvl="0" w:tplc="84DA0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FC0D98"/>
    <w:multiLevelType w:val="hybridMultilevel"/>
    <w:tmpl w:val="3D9AB5C6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1703E"/>
    <w:multiLevelType w:val="multilevel"/>
    <w:tmpl w:val="961E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4492480C"/>
    <w:multiLevelType w:val="hybridMultilevel"/>
    <w:tmpl w:val="6B6455EA"/>
    <w:lvl w:ilvl="0" w:tplc="4F90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2DC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-426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-42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54B6BDE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1CF4"/>
    <w:multiLevelType w:val="hybridMultilevel"/>
    <w:tmpl w:val="04F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D213D"/>
    <w:multiLevelType w:val="hybridMultilevel"/>
    <w:tmpl w:val="B582CE4A"/>
    <w:lvl w:ilvl="0" w:tplc="5EBA7B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07DAF"/>
    <w:multiLevelType w:val="hybridMultilevel"/>
    <w:tmpl w:val="9EA0DA8A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2453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8"/>
  </w:num>
  <w:num w:numId="6">
    <w:abstractNumId w:val="19"/>
  </w:num>
  <w:num w:numId="7">
    <w:abstractNumId w:val="1"/>
  </w:num>
  <w:num w:numId="8">
    <w:abstractNumId w:val="30"/>
  </w:num>
  <w:num w:numId="9">
    <w:abstractNumId w:val="26"/>
  </w:num>
  <w:num w:numId="10">
    <w:abstractNumId w:val="11"/>
  </w:num>
  <w:num w:numId="11">
    <w:abstractNumId w:val="17"/>
  </w:num>
  <w:num w:numId="12">
    <w:abstractNumId w:val="20"/>
  </w:num>
  <w:num w:numId="13">
    <w:abstractNumId w:val="10"/>
  </w:num>
  <w:num w:numId="14">
    <w:abstractNumId w:val="25"/>
  </w:num>
  <w:num w:numId="15">
    <w:abstractNumId w:val="31"/>
  </w:num>
  <w:num w:numId="16">
    <w:abstractNumId w:val="15"/>
  </w:num>
  <w:num w:numId="17">
    <w:abstractNumId w:val="14"/>
  </w:num>
  <w:num w:numId="18">
    <w:abstractNumId w:val="2"/>
  </w:num>
  <w:num w:numId="19">
    <w:abstractNumId w:val="35"/>
  </w:num>
  <w:num w:numId="20">
    <w:abstractNumId w:val="8"/>
  </w:num>
  <w:num w:numId="21">
    <w:abstractNumId w:val="21"/>
  </w:num>
  <w:num w:numId="22">
    <w:abstractNumId w:val="22"/>
  </w:num>
  <w:num w:numId="23">
    <w:abstractNumId w:val="6"/>
  </w:num>
  <w:num w:numId="24">
    <w:abstractNumId w:val="18"/>
  </w:num>
  <w:num w:numId="25">
    <w:abstractNumId w:val="4"/>
  </w:num>
  <w:num w:numId="26">
    <w:abstractNumId w:val="23"/>
  </w:num>
  <w:num w:numId="27">
    <w:abstractNumId w:val="5"/>
  </w:num>
  <w:num w:numId="28">
    <w:abstractNumId w:val="29"/>
  </w:num>
  <w:num w:numId="29">
    <w:abstractNumId w:val="27"/>
  </w:num>
  <w:num w:numId="30">
    <w:abstractNumId w:val="33"/>
  </w:num>
  <w:num w:numId="31">
    <w:abstractNumId w:val="3"/>
  </w:num>
  <w:num w:numId="32">
    <w:abstractNumId w:val="32"/>
  </w:num>
  <w:num w:numId="33">
    <w:abstractNumId w:val="12"/>
  </w:num>
  <w:num w:numId="34">
    <w:abstractNumId w:val="16"/>
  </w:num>
  <w:num w:numId="35">
    <w:abstractNumId w:val="34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7"/>
    <w:rsid w:val="000256F6"/>
    <w:rsid w:val="00026B79"/>
    <w:rsid w:val="0004709B"/>
    <w:rsid w:val="0005053E"/>
    <w:rsid w:val="00052EBB"/>
    <w:rsid w:val="000D3EEE"/>
    <w:rsid w:val="000D462A"/>
    <w:rsid w:val="000E39AD"/>
    <w:rsid w:val="0010775F"/>
    <w:rsid w:val="0013141B"/>
    <w:rsid w:val="001B0C99"/>
    <w:rsid w:val="001D4858"/>
    <w:rsid w:val="001E27FC"/>
    <w:rsid w:val="002434DE"/>
    <w:rsid w:val="00252A33"/>
    <w:rsid w:val="00266CFB"/>
    <w:rsid w:val="002B5F78"/>
    <w:rsid w:val="00334582"/>
    <w:rsid w:val="00336799"/>
    <w:rsid w:val="00356829"/>
    <w:rsid w:val="003614DF"/>
    <w:rsid w:val="003646D6"/>
    <w:rsid w:val="00367114"/>
    <w:rsid w:val="003832E1"/>
    <w:rsid w:val="003857C5"/>
    <w:rsid w:val="003A61AD"/>
    <w:rsid w:val="003D4D14"/>
    <w:rsid w:val="003E3C89"/>
    <w:rsid w:val="003E5081"/>
    <w:rsid w:val="003E5519"/>
    <w:rsid w:val="003F3B5F"/>
    <w:rsid w:val="00405FD3"/>
    <w:rsid w:val="004221E3"/>
    <w:rsid w:val="0049657D"/>
    <w:rsid w:val="004C0621"/>
    <w:rsid w:val="004D38B1"/>
    <w:rsid w:val="004F2EC0"/>
    <w:rsid w:val="00526F61"/>
    <w:rsid w:val="005348B2"/>
    <w:rsid w:val="00554670"/>
    <w:rsid w:val="00574E81"/>
    <w:rsid w:val="00580B38"/>
    <w:rsid w:val="00594D02"/>
    <w:rsid w:val="00595EE5"/>
    <w:rsid w:val="00597827"/>
    <w:rsid w:val="005B1DCD"/>
    <w:rsid w:val="005D7994"/>
    <w:rsid w:val="005E041E"/>
    <w:rsid w:val="006013F5"/>
    <w:rsid w:val="006243DB"/>
    <w:rsid w:val="00650AAC"/>
    <w:rsid w:val="0066538E"/>
    <w:rsid w:val="0066780D"/>
    <w:rsid w:val="006B47BA"/>
    <w:rsid w:val="006E736B"/>
    <w:rsid w:val="006F6FBF"/>
    <w:rsid w:val="0070303F"/>
    <w:rsid w:val="00735C2C"/>
    <w:rsid w:val="00740C1E"/>
    <w:rsid w:val="007526C7"/>
    <w:rsid w:val="00772802"/>
    <w:rsid w:val="007815D4"/>
    <w:rsid w:val="007860A1"/>
    <w:rsid w:val="007967BC"/>
    <w:rsid w:val="007A1810"/>
    <w:rsid w:val="007A33F1"/>
    <w:rsid w:val="007C3FAB"/>
    <w:rsid w:val="007D01B5"/>
    <w:rsid w:val="00872686"/>
    <w:rsid w:val="00894C27"/>
    <w:rsid w:val="008C6796"/>
    <w:rsid w:val="008D1C7C"/>
    <w:rsid w:val="008F06CB"/>
    <w:rsid w:val="008F71F7"/>
    <w:rsid w:val="00924546"/>
    <w:rsid w:val="00926E2E"/>
    <w:rsid w:val="009408E1"/>
    <w:rsid w:val="00962655"/>
    <w:rsid w:val="00966BEB"/>
    <w:rsid w:val="00984959"/>
    <w:rsid w:val="009B0C4A"/>
    <w:rsid w:val="00A11290"/>
    <w:rsid w:val="00A14E7E"/>
    <w:rsid w:val="00A2673E"/>
    <w:rsid w:val="00A378CA"/>
    <w:rsid w:val="00A42B0E"/>
    <w:rsid w:val="00A463C5"/>
    <w:rsid w:val="00AB15C2"/>
    <w:rsid w:val="00AD7DE9"/>
    <w:rsid w:val="00B2277B"/>
    <w:rsid w:val="00B47404"/>
    <w:rsid w:val="00B546F5"/>
    <w:rsid w:val="00B80966"/>
    <w:rsid w:val="00B87822"/>
    <w:rsid w:val="00B91903"/>
    <w:rsid w:val="00B91B51"/>
    <w:rsid w:val="00BA55F6"/>
    <w:rsid w:val="00BB74F2"/>
    <w:rsid w:val="00BE07D5"/>
    <w:rsid w:val="00BE1AC1"/>
    <w:rsid w:val="00C16997"/>
    <w:rsid w:val="00C41BF4"/>
    <w:rsid w:val="00C853E2"/>
    <w:rsid w:val="00CB2128"/>
    <w:rsid w:val="00CC0467"/>
    <w:rsid w:val="00CE67B3"/>
    <w:rsid w:val="00D02AFC"/>
    <w:rsid w:val="00D03660"/>
    <w:rsid w:val="00D25860"/>
    <w:rsid w:val="00D712BA"/>
    <w:rsid w:val="00D71752"/>
    <w:rsid w:val="00D922A6"/>
    <w:rsid w:val="00DE7D68"/>
    <w:rsid w:val="00E03850"/>
    <w:rsid w:val="00E13B39"/>
    <w:rsid w:val="00E54F7C"/>
    <w:rsid w:val="00E60339"/>
    <w:rsid w:val="00E93C98"/>
    <w:rsid w:val="00EE27DF"/>
    <w:rsid w:val="00F2559E"/>
    <w:rsid w:val="00F41111"/>
    <w:rsid w:val="00F5609C"/>
    <w:rsid w:val="00F76284"/>
    <w:rsid w:val="00F804EE"/>
    <w:rsid w:val="00F86505"/>
    <w:rsid w:val="00F86750"/>
    <w:rsid w:val="00FB763C"/>
    <w:rsid w:val="00FC33E0"/>
    <w:rsid w:val="00FC3BE5"/>
    <w:rsid w:val="00FD2CBF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FA93-F019-4D90-8204-1225829A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kbartosiak</cp:lastModifiedBy>
  <cp:revision>5</cp:revision>
  <cp:lastPrinted>2018-03-29T10:57:00Z</cp:lastPrinted>
  <dcterms:created xsi:type="dcterms:W3CDTF">2018-03-28T11:44:00Z</dcterms:created>
  <dcterms:modified xsi:type="dcterms:W3CDTF">2018-03-29T10:57:00Z</dcterms:modified>
</cp:coreProperties>
</file>