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21" w:rsidRPr="00B13721" w:rsidRDefault="00B13721" w:rsidP="0042229A">
      <w:pPr>
        <w:pStyle w:val="Akapitzlist"/>
        <w:numPr>
          <w:ilvl w:val="0"/>
          <w:numId w:val="3"/>
        </w:numPr>
        <w:ind w:left="426"/>
        <w:rPr>
          <w:b/>
          <w:sz w:val="28"/>
          <w:szCs w:val="28"/>
        </w:rPr>
      </w:pPr>
      <w:r w:rsidRPr="00B13721">
        <w:rPr>
          <w:b/>
          <w:sz w:val="28"/>
          <w:szCs w:val="28"/>
        </w:rPr>
        <w:t>Opis przedmiotu zamówienia</w:t>
      </w:r>
    </w:p>
    <w:p w:rsidR="00DC5F26" w:rsidRDefault="00C430F9" w:rsidP="00B13721">
      <w:pPr>
        <w:jc w:val="both"/>
      </w:pPr>
      <w:r>
        <w:t>Miejsce docelowe świadczenia usług –</w:t>
      </w:r>
      <w:r w:rsidR="0042229A">
        <w:t xml:space="preserve"> </w:t>
      </w:r>
      <w:r>
        <w:t xml:space="preserve">siedziba Zamawiającego aleje Jerozolimskie 142A, </w:t>
      </w:r>
      <w:r>
        <w:br/>
        <w:t>02-305</w:t>
      </w:r>
      <w:r w:rsidR="00686167">
        <w:t xml:space="preserve"> Warszaw</w:t>
      </w:r>
      <w:r w:rsidR="0042229A">
        <w:t>a.</w:t>
      </w:r>
      <w:r>
        <w:t xml:space="preserve"> </w:t>
      </w:r>
    </w:p>
    <w:p w:rsidR="006437C4" w:rsidRDefault="004B6D77" w:rsidP="00B13721">
      <w:pPr>
        <w:pStyle w:val="Akapitzlist"/>
        <w:numPr>
          <w:ilvl w:val="0"/>
          <w:numId w:val="4"/>
        </w:numPr>
        <w:ind w:left="426"/>
        <w:jc w:val="both"/>
      </w:pPr>
      <w:r>
        <w:t>Łącze główne:</w:t>
      </w:r>
    </w:p>
    <w:p w:rsidR="00020318" w:rsidRDefault="00020318" w:rsidP="00B13721">
      <w:pPr>
        <w:pStyle w:val="Akapitzlist"/>
        <w:numPr>
          <w:ilvl w:val="0"/>
          <w:numId w:val="1"/>
        </w:numPr>
        <w:jc w:val="both"/>
      </w:pPr>
      <w:r>
        <w:t>Symetryczne o przepustowości min</w:t>
      </w:r>
      <w:r w:rsidR="00FE46CC">
        <w:t xml:space="preserve">imum 300/300 </w:t>
      </w:r>
      <w:proofErr w:type="spellStart"/>
      <w:r w:rsidR="00FE46CC">
        <w:t>Mbit</w:t>
      </w:r>
      <w:proofErr w:type="spellEnd"/>
      <w:r>
        <w:t>/s</w:t>
      </w:r>
      <w:r w:rsidR="00FE46CC">
        <w:t>.</w:t>
      </w:r>
    </w:p>
    <w:p w:rsidR="00FE46CC" w:rsidRDefault="00FE46CC" w:rsidP="00B13721">
      <w:pPr>
        <w:pStyle w:val="Akapitzlist"/>
        <w:numPr>
          <w:ilvl w:val="0"/>
          <w:numId w:val="1"/>
        </w:numPr>
        <w:jc w:val="both"/>
      </w:pPr>
      <w:r>
        <w:t>Technologia wykonania - łącza światłowodowe.</w:t>
      </w:r>
    </w:p>
    <w:p w:rsidR="002512AD" w:rsidRDefault="00FE46CC" w:rsidP="00B13721">
      <w:pPr>
        <w:pStyle w:val="Akapitzlist"/>
        <w:numPr>
          <w:ilvl w:val="0"/>
          <w:numId w:val="1"/>
        </w:numPr>
        <w:jc w:val="both"/>
      </w:pPr>
      <w:r>
        <w:t>Zakończenie łącza od strony abonenta – Ethernet 100/1000 BASE-T</w:t>
      </w:r>
      <w:r w:rsidR="002512AD">
        <w:t>.</w:t>
      </w:r>
    </w:p>
    <w:p w:rsidR="00FE46CC" w:rsidRDefault="00AF5778" w:rsidP="00B13721">
      <w:pPr>
        <w:pStyle w:val="Akapitzlist"/>
        <w:numPr>
          <w:ilvl w:val="0"/>
          <w:numId w:val="1"/>
        </w:numPr>
        <w:jc w:val="both"/>
      </w:pPr>
      <w:r>
        <w:t>Klasa adresowa min 30 adresów IP</w:t>
      </w:r>
      <w:r w:rsidR="002512AD">
        <w:t>.</w:t>
      </w:r>
    </w:p>
    <w:p w:rsidR="00AF5778" w:rsidRDefault="00AF5778" w:rsidP="00B13721">
      <w:pPr>
        <w:pStyle w:val="Akapitzlist"/>
        <w:numPr>
          <w:ilvl w:val="0"/>
          <w:numId w:val="1"/>
        </w:numPr>
        <w:jc w:val="both"/>
      </w:pPr>
      <w:r>
        <w:t xml:space="preserve">Możliwość zmian wpisów </w:t>
      </w:r>
      <w:proofErr w:type="spellStart"/>
      <w:r>
        <w:t>revDNS</w:t>
      </w:r>
      <w:proofErr w:type="spellEnd"/>
      <w:r>
        <w:t xml:space="preserve"> dla posiadanych IP</w:t>
      </w:r>
      <w:r w:rsidR="002512AD">
        <w:t>.</w:t>
      </w:r>
    </w:p>
    <w:p w:rsidR="00B13721" w:rsidRDefault="00B13721" w:rsidP="00B13721">
      <w:pPr>
        <w:pStyle w:val="Akapitzlist"/>
        <w:jc w:val="both"/>
      </w:pPr>
    </w:p>
    <w:p w:rsidR="00AF5778" w:rsidRDefault="00AF5778" w:rsidP="00B13721">
      <w:pPr>
        <w:pStyle w:val="Akapitzlist"/>
        <w:numPr>
          <w:ilvl w:val="0"/>
          <w:numId w:val="4"/>
        </w:numPr>
        <w:ind w:left="426"/>
        <w:jc w:val="both"/>
      </w:pPr>
      <w:r>
        <w:t>Łącze zapasowe:</w:t>
      </w:r>
    </w:p>
    <w:p w:rsidR="00AF5778" w:rsidRDefault="00AF5778" w:rsidP="00B13721">
      <w:pPr>
        <w:pStyle w:val="Akapitzlist"/>
        <w:numPr>
          <w:ilvl w:val="0"/>
          <w:numId w:val="1"/>
        </w:numPr>
        <w:jc w:val="both"/>
      </w:pPr>
      <w:r>
        <w:t xml:space="preserve">Symetryczne o przepustowości minimum 100/100 </w:t>
      </w:r>
      <w:proofErr w:type="spellStart"/>
      <w:r>
        <w:t>Mbit</w:t>
      </w:r>
      <w:proofErr w:type="spellEnd"/>
      <w:r>
        <w:t>/s.</w:t>
      </w:r>
    </w:p>
    <w:p w:rsidR="00AF5778" w:rsidRDefault="00AF5778" w:rsidP="00B13721">
      <w:pPr>
        <w:pStyle w:val="Akapitzlist"/>
        <w:numPr>
          <w:ilvl w:val="0"/>
          <w:numId w:val="1"/>
        </w:numPr>
        <w:jc w:val="both"/>
      </w:pPr>
      <w:r>
        <w:t>Technologia wykonania - łącza radiowe.</w:t>
      </w:r>
    </w:p>
    <w:p w:rsidR="00AF5778" w:rsidRDefault="00AF5778" w:rsidP="00B13721">
      <w:pPr>
        <w:pStyle w:val="Akapitzlist"/>
        <w:numPr>
          <w:ilvl w:val="0"/>
          <w:numId w:val="1"/>
        </w:numPr>
        <w:jc w:val="both"/>
      </w:pPr>
      <w:r>
        <w:t>Zakończenie łącza od strony abonenta dla ruchu IP – Ethernet 100/1000 BASE-T.</w:t>
      </w:r>
    </w:p>
    <w:p w:rsidR="00AF5778" w:rsidRDefault="00AF5778" w:rsidP="00B13721">
      <w:pPr>
        <w:pStyle w:val="Akapitzlist"/>
        <w:numPr>
          <w:ilvl w:val="0"/>
          <w:numId w:val="1"/>
        </w:numPr>
        <w:jc w:val="both"/>
      </w:pPr>
      <w:r>
        <w:t>Zakończenie łącza od strony abonenta dla ruchu głosowego – ISDN.</w:t>
      </w:r>
    </w:p>
    <w:p w:rsidR="00AF5778" w:rsidRDefault="00AF5778" w:rsidP="00B13721">
      <w:pPr>
        <w:pStyle w:val="Akapitzlist"/>
        <w:numPr>
          <w:ilvl w:val="0"/>
          <w:numId w:val="1"/>
        </w:numPr>
        <w:jc w:val="both"/>
      </w:pPr>
      <w:r>
        <w:t>Automatyczne przełączenie ruchu IP wychodzącego i przychodzącego w przypadku awarii łącza podstawowego, oraz automatyczny powrót po awarii.</w:t>
      </w:r>
    </w:p>
    <w:p w:rsidR="003105DD" w:rsidRDefault="003105DD" w:rsidP="00B13721">
      <w:pPr>
        <w:pStyle w:val="Akapitzlist"/>
        <w:numPr>
          <w:ilvl w:val="0"/>
          <w:numId w:val="1"/>
        </w:numPr>
        <w:jc w:val="both"/>
      </w:pPr>
      <w:r>
        <w:t xml:space="preserve">Automatyczne przełączenie usługi ISDN telefonii stacjonarnej dla ruchu wychodzącego </w:t>
      </w:r>
      <w:r>
        <w:br/>
        <w:t>i przychodzącego(abonent posiada dwie karty ISDN w centrali PBX).</w:t>
      </w:r>
    </w:p>
    <w:p w:rsidR="00AF5778" w:rsidRDefault="003105DD" w:rsidP="00B13721">
      <w:pPr>
        <w:pStyle w:val="Akapitzlist"/>
        <w:numPr>
          <w:ilvl w:val="0"/>
          <w:numId w:val="1"/>
        </w:numPr>
        <w:jc w:val="both"/>
      </w:pPr>
      <w:r>
        <w:t>Łącze zestawione do innego węzła operatora niż łącze główne.</w:t>
      </w:r>
    </w:p>
    <w:p w:rsidR="00B13721" w:rsidRDefault="00B13721" w:rsidP="00B13721">
      <w:pPr>
        <w:pStyle w:val="Akapitzlist"/>
        <w:jc w:val="both"/>
      </w:pPr>
    </w:p>
    <w:p w:rsidR="003105DD" w:rsidRDefault="003105DD" w:rsidP="00B13721">
      <w:pPr>
        <w:pStyle w:val="Akapitzlist"/>
        <w:numPr>
          <w:ilvl w:val="0"/>
          <w:numId w:val="4"/>
        </w:numPr>
        <w:ind w:left="426"/>
        <w:jc w:val="both"/>
      </w:pPr>
      <w:r>
        <w:t>Lina ISDN (lub VoIP zakończona ISDN od strony abonenta) 30B+D:</w:t>
      </w:r>
    </w:p>
    <w:p w:rsidR="003105DD" w:rsidRDefault="003105DD" w:rsidP="00B13721">
      <w:pPr>
        <w:pStyle w:val="Akapitzlist"/>
        <w:numPr>
          <w:ilvl w:val="0"/>
          <w:numId w:val="2"/>
        </w:numPr>
        <w:jc w:val="both"/>
      </w:pPr>
      <w:r>
        <w:t>Do przeniesienia strefa  numeracyjna 600 numerów</w:t>
      </w:r>
      <w:r w:rsidR="00335707">
        <w:t>.</w:t>
      </w:r>
    </w:p>
    <w:p w:rsidR="00335707" w:rsidRDefault="00335707" w:rsidP="00B13721">
      <w:pPr>
        <w:pStyle w:val="Akapitzlist"/>
        <w:numPr>
          <w:ilvl w:val="0"/>
          <w:numId w:val="2"/>
        </w:numPr>
        <w:jc w:val="both"/>
      </w:pPr>
      <w:r>
        <w:t>Usługa infolinii (0-801 134 001) infolinia włączona w trakt ISDN jako kolejny numer abonenta.</w:t>
      </w:r>
    </w:p>
    <w:p w:rsidR="00335707" w:rsidRDefault="00335707" w:rsidP="00B13721">
      <w:pPr>
        <w:pStyle w:val="Akapitzlist"/>
        <w:numPr>
          <w:ilvl w:val="0"/>
          <w:numId w:val="2"/>
        </w:numPr>
        <w:jc w:val="both"/>
      </w:pPr>
      <w:r>
        <w:t>Usługa świadczona na łączu głównym i zapasowym.</w:t>
      </w:r>
    </w:p>
    <w:p w:rsidR="00B07F44" w:rsidRDefault="00B07F44" w:rsidP="00B07F44">
      <w:pPr>
        <w:pStyle w:val="Akapitzlist"/>
        <w:jc w:val="both"/>
      </w:pPr>
    </w:p>
    <w:p w:rsidR="00D75A03" w:rsidRDefault="00D75A03" w:rsidP="00D75A03">
      <w:pPr>
        <w:pStyle w:val="Akapitzlist"/>
        <w:numPr>
          <w:ilvl w:val="0"/>
          <w:numId w:val="4"/>
        </w:numPr>
        <w:ind w:left="426"/>
        <w:jc w:val="both"/>
      </w:pPr>
      <w:r>
        <w:t xml:space="preserve">Wsparcie techniczne </w:t>
      </w:r>
    </w:p>
    <w:p w:rsidR="002559C0" w:rsidRDefault="002559C0" w:rsidP="00D75A03">
      <w:pPr>
        <w:pStyle w:val="Akapitzlist"/>
        <w:numPr>
          <w:ilvl w:val="0"/>
          <w:numId w:val="10"/>
        </w:numPr>
        <w:jc w:val="both"/>
      </w:pPr>
      <w:r>
        <w:t>Przeanalizowanie i stworzenie mapy adresacji w obecnym środowisku Zamawiającego</w:t>
      </w:r>
      <w:r w:rsidR="00855218">
        <w:t>.</w:t>
      </w:r>
    </w:p>
    <w:p w:rsidR="00F52E34" w:rsidRDefault="00671493" w:rsidP="00D75A03">
      <w:pPr>
        <w:pStyle w:val="Akapitzlist"/>
        <w:numPr>
          <w:ilvl w:val="0"/>
          <w:numId w:val="10"/>
        </w:numPr>
        <w:jc w:val="both"/>
      </w:pPr>
      <w:r>
        <w:t>Przygotowanie</w:t>
      </w:r>
      <w:r w:rsidR="00F52E34">
        <w:t xml:space="preserve"> projektu </w:t>
      </w:r>
      <w:r>
        <w:t>migracji zgodn</w:t>
      </w:r>
      <w:r w:rsidR="00855218">
        <w:t>ego z technologią Zamawiającego.</w:t>
      </w:r>
    </w:p>
    <w:p w:rsidR="00F52E34" w:rsidRDefault="00F52E34" w:rsidP="00F52E34">
      <w:pPr>
        <w:pStyle w:val="Akapitzlist"/>
        <w:numPr>
          <w:ilvl w:val="0"/>
          <w:numId w:val="10"/>
        </w:numPr>
        <w:jc w:val="both"/>
      </w:pPr>
      <w:r>
        <w:t xml:space="preserve">Wykonanie migracji adresacji IP z PIX na </w:t>
      </w:r>
      <w:proofErr w:type="spellStart"/>
      <w:r>
        <w:t>Forti</w:t>
      </w:r>
      <w:proofErr w:type="spellEnd"/>
      <w:r>
        <w:t xml:space="preserve"> </w:t>
      </w:r>
      <w:proofErr w:type="spellStart"/>
      <w:r>
        <w:t>Gate</w:t>
      </w:r>
      <w:proofErr w:type="spellEnd"/>
      <w:r w:rsidR="00855218">
        <w:t>.</w:t>
      </w:r>
    </w:p>
    <w:p w:rsidR="00855218" w:rsidRDefault="00855218" w:rsidP="00F52E34">
      <w:pPr>
        <w:pStyle w:val="Akapitzlist"/>
        <w:numPr>
          <w:ilvl w:val="0"/>
          <w:numId w:val="10"/>
        </w:numPr>
        <w:jc w:val="both"/>
      </w:pPr>
      <w:r>
        <w:t>W</w:t>
      </w:r>
      <w:r w:rsidR="00B07F44">
        <w:t>drożenie.</w:t>
      </w:r>
    </w:p>
    <w:p w:rsidR="00F52E34" w:rsidRDefault="0061449F" w:rsidP="00855218">
      <w:pPr>
        <w:pStyle w:val="Akapitzlist"/>
        <w:numPr>
          <w:ilvl w:val="0"/>
          <w:numId w:val="10"/>
        </w:numPr>
        <w:jc w:val="both"/>
      </w:pPr>
      <w:r>
        <w:t>Stworzenie mapy po</w:t>
      </w:r>
      <w:r w:rsidR="00F52E34">
        <w:t>wykonawczej</w:t>
      </w:r>
      <w:r w:rsidR="00855218">
        <w:t>.</w:t>
      </w:r>
    </w:p>
    <w:p w:rsidR="00686167" w:rsidRDefault="00686167" w:rsidP="00B13721">
      <w:pPr>
        <w:jc w:val="both"/>
      </w:pPr>
      <w:r>
        <w:t>Obecny profil połączeń Zamawiającego</w:t>
      </w:r>
      <w:r w:rsidR="00890642">
        <w:t xml:space="preserve"> </w:t>
      </w:r>
      <w:r w:rsidR="00CB39B2">
        <w:t>(zestawienie z 12 miesięcy)</w:t>
      </w:r>
    </w:p>
    <w:tbl>
      <w:tblPr>
        <w:tblStyle w:val="Tabela-Siatka"/>
        <w:tblW w:w="0" w:type="auto"/>
        <w:tblLook w:val="04A0" w:firstRow="1" w:lastRow="0" w:firstColumn="1" w:lastColumn="0" w:noHBand="0" w:noVBand="1"/>
      </w:tblPr>
      <w:tblGrid>
        <w:gridCol w:w="4606"/>
        <w:gridCol w:w="4606"/>
      </w:tblGrid>
      <w:tr w:rsidR="00A77CCB" w:rsidTr="00A77CCB">
        <w:tc>
          <w:tcPr>
            <w:tcW w:w="4606" w:type="dxa"/>
          </w:tcPr>
          <w:p w:rsidR="00A77CCB" w:rsidRDefault="00A77CCB" w:rsidP="00B13721">
            <w:pPr>
              <w:jc w:val="both"/>
            </w:pPr>
            <w:r>
              <w:t>Miejsce docelowe</w:t>
            </w:r>
          </w:p>
        </w:tc>
        <w:tc>
          <w:tcPr>
            <w:tcW w:w="4606" w:type="dxa"/>
          </w:tcPr>
          <w:p w:rsidR="00A77CCB" w:rsidRDefault="00A77CCB" w:rsidP="00B13721">
            <w:pPr>
              <w:jc w:val="both"/>
            </w:pPr>
            <w:r>
              <w:t>Czas trwania</w:t>
            </w:r>
          </w:p>
        </w:tc>
      </w:tr>
      <w:tr w:rsidR="00CB39B2" w:rsidTr="000970DB">
        <w:tc>
          <w:tcPr>
            <w:tcW w:w="4606" w:type="dxa"/>
          </w:tcPr>
          <w:p w:rsidR="00CB39B2" w:rsidRDefault="00CB39B2" w:rsidP="00B13721">
            <w:pPr>
              <w:jc w:val="both"/>
            </w:pPr>
            <w:r>
              <w:t>Międzynarodowe strefa 1</w:t>
            </w:r>
          </w:p>
        </w:tc>
        <w:tc>
          <w:tcPr>
            <w:tcW w:w="4606" w:type="dxa"/>
            <w:vAlign w:val="bottom"/>
          </w:tcPr>
          <w:p w:rsidR="00CB39B2" w:rsidRDefault="003D1515" w:rsidP="00B13721">
            <w:pPr>
              <w:jc w:val="both"/>
              <w:rPr>
                <w:rFonts w:ascii="Calibri" w:hAnsi="Calibri"/>
                <w:color w:val="000000"/>
              </w:rPr>
            </w:pPr>
            <w:r>
              <w:rPr>
                <w:rFonts w:ascii="Calibri" w:hAnsi="Calibri"/>
                <w:color w:val="000000"/>
              </w:rPr>
              <w:t>675</w:t>
            </w:r>
          </w:p>
        </w:tc>
      </w:tr>
      <w:tr w:rsidR="00CB39B2" w:rsidTr="000970DB">
        <w:tc>
          <w:tcPr>
            <w:tcW w:w="4606" w:type="dxa"/>
          </w:tcPr>
          <w:p w:rsidR="00CB39B2" w:rsidRDefault="00CB39B2" w:rsidP="00B13721">
            <w:pPr>
              <w:jc w:val="both"/>
            </w:pPr>
            <w:r>
              <w:t xml:space="preserve">Międzynarodowe </w:t>
            </w:r>
            <w:r w:rsidR="003D1515">
              <w:t>strefa 3</w:t>
            </w:r>
          </w:p>
        </w:tc>
        <w:tc>
          <w:tcPr>
            <w:tcW w:w="4606" w:type="dxa"/>
            <w:vAlign w:val="bottom"/>
          </w:tcPr>
          <w:p w:rsidR="00CB39B2" w:rsidRDefault="003D1515" w:rsidP="00B13721">
            <w:pPr>
              <w:jc w:val="both"/>
              <w:rPr>
                <w:rFonts w:ascii="Calibri" w:hAnsi="Calibri"/>
                <w:color w:val="000000"/>
              </w:rPr>
            </w:pPr>
            <w:r>
              <w:rPr>
                <w:rFonts w:ascii="Calibri" w:hAnsi="Calibri"/>
                <w:color w:val="000000"/>
              </w:rPr>
              <w:t>140</w:t>
            </w:r>
          </w:p>
        </w:tc>
      </w:tr>
      <w:tr w:rsidR="00CB39B2" w:rsidTr="000970DB">
        <w:tc>
          <w:tcPr>
            <w:tcW w:w="4606" w:type="dxa"/>
          </w:tcPr>
          <w:p w:rsidR="00CB39B2" w:rsidRDefault="00CB39B2" w:rsidP="00B13721">
            <w:pPr>
              <w:jc w:val="both"/>
            </w:pPr>
            <w:r>
              <w:t xml:space="preserve">Międzynarodowe </w:t>
            </w:r>
            <w:r w:rsidR="003D1515">
              <w:t>strefa 4</w:t>
            </w:r>
          </w:p>
        </w:tc>
        <w:tc>
          <w:tcPr>
            <w:tcW w:w="4606" w:type="dxa"/>
            <w:vAlign w:val="bottom"/>
          </w:tcPr>
          <w:p w:rsidR="00CB39B2" w:rsidRDefault="003D1515" w:rsidP="00B13721">
            <w:pPr>
              <w:jc w:val="both"/>
              <w:rPr>
                <w:rFonts w:ascii="Calibri" w:hAnsi="Calibri"/>
                <w:color w:val="000000"/>
              </w:rPr>
            </w:pPr>
            <w:r>
              <w:rPr>
                <w:rFonts w:ascii="Calibri" w:hAnsi="Calibri"/>
                <w:color w:val="000000"/>
              </w:rPr>
              <w:t>75</w:t>
            </w:r>
          </w:p>
        </w:tc>
      </w:tr>
      <w:tr w:rsidR="00CB39B2" w:rsidTr="000970DB">
        <w:tc>
          <w:tcPr>
            <w:tcW w:w="4606" w:type="dxa"/>
          </w:tcPr>
          <w:p w:rsidR="00CB39B2" w:rsidRDefault="00CB39B2" w:rsidP="00B13721">
            <w:pPr>
              <w:jc w:val="both"/>
            </w:pPr>
            <w:r>
              <w:t>Krajowe stacjonarne</w:t>
            </w:r>
          </w:p>
        </w:tc>
        <w:tc>
          <w:tcPr>
            <w:tcW w:w="4606" w:type="dxa"/>
            <w:vAlign w:val="bottom"/>
          </w:tcPr>
          <w:p w:rsidR="00CB39B2" w:rsidRDefault="00CB39B2" w:rsidP="00B13721">
            <w:pPr>
              <w:jc w:val="both"/>
              <w:rPr>
                <w:rFonts w:ascii="Calibri" w:hAnsi="Calibri"/>
                <w:color w:val="000000"/>
              </w:rPr>
            </w:pPr>
            <w:r>
              <w:rPr>
                <w:rFonts w:ascii="Calibri" w:hAnsi="Calibri"/>
                <w:color w:val="000000"/>
              </w:rPr>
              <w:t>34000</w:t>
            </w:r>
          </w:p>
        </w:tc>
      </w:tr>
      <w:tr w:rsidR="00CB39B2" w:rsidTr="000970DB">
        <w:tc>
          <w:tcPr>
            <w:tcW w:w="4606" w:type="dxa"/>
          </w:tcPr>
          <w:p w:rsidR="00CB39B2" w:rsidRDefault="00CB39B2" w:rsidP="00B13721">
            <w:pPr>
              <w:jc w:val="both"/>
            </w:pPr>
            <w:r>
              <w:t>Międzynarodowe strefa 1 komórkowe</w:t>
            </w:r>
          </w:p>
        </w:tc>
        <w:tc>
          <w:tcPr>
            <w:tcW w:w="4606" w:type="dxa"/>
            <w:vAlign w:val="bottom"/>
          </w:tcPr>
          <w:p w:rsidR="00CB39B2" w:rsidRDefault="00CB39B2" w:rsidP="00B13721">
            <w:pPr>
              <w:jc w:val="both"/>
              <w:rPr>
                <w:rFonts w:ascii="Calibri" w:hAnsi="Calibri"/>
                <w:color w:val="000000"/>
              </w:rPr>
            </w:pPr>
            <w:r>
              <w:rPr>
                <w:rFonts w:ascii="Calibri" w:hAnsi="Calibri"/>
                <w:color w:val="000000"/>
              </w:rPr>
              <w:t>245</w:t>
            </w:r>
          </w:p>
        </w:tc>
      </w:tr>
      <w:tr w:rsidR="00CB39B2" w:rsidTr="000970DB">
        <w:tc>
          <w:tcPr>
            <w:tcW w:w="4606" w:type="dxa"/>
          </w:tcPr>
          <w:p w:rsidR="00CB39B2" w:rsidRDefault="00CB39B2" w:rsidP="00B13721">
            <w:pPr>
              <w:jc w:val="both"/>
            </w:pPr>
            <w:r>
              <w:t>Międzynarodowe strefa 2 komórkowe</w:t>
            </w:r>
          </w:p>
        </w:tc>
        <w:tc>
          <w:tcPr>
            <w:tcW w:w="4606" w:type="dxa"/>
            <w:vAlign w:val="bottom"/>
          </w:tcPr>
          <w:p w:rsidR="00CB39B2" w:rsidRDefault="00CB39B2" w:rsidP="00B13721">
            <w:pPr>
              <w:jc w:val="both"/>
              <w:rPr>
                <w:rFonts w:ascii="Calibri" w:hAnsi="Calibri"/>
                <w:color w:val="000000"/>
              </w:rPr>
            </w:pPr>
            <w:r>
              <w:rPr>
                <w:rFonts w:ascii="Calibri" w:hAnsi="Calibri"/>
                <w:color w:val="000000"/>
              </w:rPr>
              <w:t>80</w:t>
            </w:r>
          </w:p>
        </w:tc>
      </w:tr>
      <w:tr w:rsidR="00CB39B2" w:rsidTr="000970DB">
        <w:tc>
          <w:tcPr>
            <w:tcW w:w="4606" w:type="dxa"/>
          </w:tcPr>
          <w:p w:rsidR="00CB39B2" w:rsidRDefault="00CB39B2" w:rsidP="00B13721">
            <w:pPr>
              <w:jc w:val="both"/>
            </w:pPr>
            <w:r>
              <w:t>Międzynarodowe strefa 3 komórkowe</w:t>
            </w:r>
          </w:p>
        </w:tc>
        <w:tc>
          <w:tcPr>
            <w:tcW w:w="4606" w:type="dxa"/>
            <w:vAlign w:val="bottom"/>
          </w:tcPr>
          <w:p w:rsidR="00CB39B2" w:rsidRDefault="00CB39B2" w:rsidP="00B13721">
            <w:pPr>
              <w:jc w:val="both"/>
              <w:rPr>
                <w:rFonts w:ascii="Calibri" w:hAnsi="Calibri"/>
                <w:color w:val="000000"/>
              </w:rPr>
            </w:pPr>
            <w:r>
              <w:rPr>
                <w:rFonts w:ascii="Calibri" w:hAnsi="Calibri"/>
                <w:color w:val="000000"/>
              </w:rPr>
              <w:t>200</w:t>
            </w:r>
          </w:p>
        </w:tc>
      </w:tr>
      <w:tr w:rsidR="00CB39B2" w:rsidTr="000970DB">
        <w:tc>
          <w:tcPr>
            <w:tcW w:w="4606" w:type="dxa"/>
          </w:tcPr>
          <w:p w:rsidR="00CB39B2" w:rsidRDefault="00CB39B2" w:rsidP="00B13721">
            <w:pPr>
              <w:jc w:val="both"/>
            </w:pPr>
            <w:r>
              <w:t>Sieci komórkowe</w:t>
            </w:r>
          </w:p>
        </w:tc>
        <w:tc>
          <w:tcPr>
            <w:tcW w:w="4606" w:type="dxa"/>
            <w:vAlign w:val="bottom"/>
          </w:tcPr>
          <w:p w:rsidR="00CB39B2" w:rsidRDefault="00CB39B2" w:rsidP="00B13721">
            <w:pPr>
              <w:jc w:val="both"/>
              <w:rPr>
                <w:rFonts w:ascii="Calibri" w:hAnsi="Calibri"/>
                <w:color w:val="000000"/>
              </w:rPr>
            </w:pPr>
            <w:r>
              <w:rPr>
                <w:rFonts w:ascii="Calibri" w:hAnsi="Calibri"/>
                <w:color w:val="000000"/>
              </w:rPr>
              <w:t>38000</w:t>
            </w:r>
          </w:p>
        </w:tc>
      </w:tr>
      <w:tr w:rsidR="00CB39B2" w:rsidTr="000970DB">
        <w:tc>
          <w:tcPr>
            <w:tcW w:w="4606" w:type="dxa"/>
          </w:tcPr>
          <w:p w:rsidR="00CB39B2" w:rsidRDefault="00CB39B2" w:rsidP="00B13721">
            <w:pPr>
              <w:jc w:val="both"/>
            </w:pPr>
            <w:r>
              <w:lastRenderedPageBreak/>
              <w:t>Sieci inteligentne</w:t>
            </w:r>
          </w:p>
        </w:tc>
        <w:tc>
          <w:tcPr>
            <w:tcW w:w="4606" w:type="dxa"/>
            <w:vAlign w:val="bottom"/>
          </w:tcPr>
          <w:p w:rsidR="00CB39B2" w:rsidRDefault="003D1515" w:rsidP="00B13721">
            <w:pPr>
              <w:jc w:val="both"/>
              <w:rPr>
                <w:rFonts w:ascii="Calibri" w:hAnsi="Calibri"/>
                <w:color w:val="000000"/>
              </w:rPr>
            </w:pPr>
            <w:r>
              <w:rPr>
                <w:rFonts w:ascii="Calibri" w:hAnsi="Calibri"/>
                <w:color w:val="000000"/>
              </w:rPr>
              <w:t>14</w:t>
            </w:r>
            <w:r w:rsidR="00CB39B2">
              <w:rPr>
                <w:rFonts w:ascii="Calibri" w:hAnsi="Calibri"/>
                <w:color w:val="000000"/>
              </w:rPr>
              <w:t>20</w:t>
            </w:r>
          </w:p>
        </w:tc>
      </w:tr>
      <w:tr w:rsidR="00CB39B2" w:rsidTr="000970DB">
        <w:tc>
          <w:tcPr>
            <w:tcW w:w="4606" w:type="dxa"/>
          </w:tcPr>
          <w:p w:rsidR="00CB39B2" w:rsidRDefault="00CB39B2" w:rsidP="00B13721">
            <w:pPr>
              <w:jc w:val="both"/>
            </w:pPr>
            <w:r>
              <w:t xml:space="preserve">Abonenckich usług specjalnych </w:t>
            </w:r>
          </w:p>
        </w:tc>
        <w:tc>
          <w:tcPr>
            <w:tcW w:w="4606" w:type="dxa"/>
            <w:vAlign w:val="bottom"/>
          </w:tcPr>
          <w:p w:rsidR="00CB39B2" w:rsidRDefault="003D1515" w:rsidP="003D1515">
            <w:pPr>
              <w:jc w:val="both"/>
              <w:rPr>
                <w:rFonts w:ascii="Calibri" w:hAnsi="Calibri"/>
                <w:color w:val="000000"/>
              </w:rPr>
            </w:pPr>
            <w:r>
              <w:rPr>
                <w:rFonts w:ascii="Calibri" w:hAnsi="Calibri"/>
                <w:color w:val="000000"/>
              </w:rPr>
              <w:t>155</w:t>
            </w:r>
          </w:p>
        </w:tc>
      </w:tr>
    </w:tbl>
    <w:p w:rsidR="00E60866" w:rsidRDefault="00E60866" w:rsidP="00E60866">
      <w:pPr>
        <w:jc w:val="both"/>
      </w:pPr>
    </w:p>
    <w:p w:rsidR="00E60866" w:rsidRDefault="00E60866" w:rsidP="00E60866">
      <w:pPr>
        <w:jc w:val="both"/>
      </w:pPr>
      <w:r>
        <w:t>Zakres Stref</w:t>
      </w:r>
      <w:r w:rsidR="00826E14">
        <w:t xml:space="preserve"> posiada</w:t>
      </w:r>
      <w:r w:rsidR="000002E2">
        <w:t>nych</w:t>
      </w:r>
      <w:r w:rsidR="00826E14">
        <w:t xml:space="preserve"> przez Zamawiającego</w:t>
      </w:r>
      <w:r>
        <w:t>:</w:t>
      </w:r>
    </w:p>
    <w:p w:rsidR="00E60866" w:rsidRDefault="00E60866" w:rsidP="00E60866">
      <w:pPr>
        <w:jc w:val="both"/>
      </w:pPr>
      <w:r>
        <w:t>Strefa 1</w:t>
      </w:r>
    </w:p>
    <w:p w:rsidR="00826E14" w:rsidRDefault="00E60866" w:rsidP="00E60866">
      <w:pPr>
        <w:jc w:val="both"/>
      </w:pPr>
      <w:r>
        <w:t>Z sieciami stacjonarnymi:</w:t>
      </w:r>
    </w:p>
    <w:p w:rsidR="00E60866" w:rsidRDefault="00E60866" w:rsidP="00E60866">
      <w:pPr>
        <w:jc w:val="both"/>
      </w:pPr>
      <w:r>
        <w:t xml:space="preserve"> Andora, Australia, Austria, Belgia, Bułgaria, Chorwacja, Cypr, Czechy, Dania, Estonia, Finlandia, Francja, Niemcy, Gibraltar, Grecja, Hiszpania, Holandia, Islandia, Irlandia, Kanada, Łotwa, Lichtenstein, Litwa, Luxemburg, Malta, Nowa Zelandia, Norwegia, Portugalia, San Marino, Słowacja, Słowenia, Stany Zjednoczone, Szwecja, Szwajcaria, Węgry, Wielka Brytania, Włochy</w:t>
      </w:r>
      <w:r w:rsidR="002512AD">
        <w:t>.</w:t>
      </w:r>
    </w:p>
    <w:p w:rsidR="00826E14" w:rsidRDefault="00E60866" w:rsidP="00E60866">
      <w:pPr>
        <w:jc w:val="both"/>
      </w:pPr>
      <w:r>
        <w:t xml:space="preserve">Z sieciami komórkowymi: </w:t>
      </w:r>
    </w:p>
    <w:p w:rsidR="00E60866" w:rsidRDefault="00E60866" w:rsidP="00E60866">
      <w:pPr>
        <w:jc w:val="both"/>
      </w:pPr>
      <w:r>
        <w:t>Kanada, Stany Zjednoczone</w:t>
      </w:r>
      <w:r w:rsidR="002512AD">
        <w:t>.</w:t>
      </w:r>
    </w:p>
    <w:p w:rsidR="00E60866" w:rsidRDefault="00E60866" w:rsidP="00E60866">
      <w:pPr>
        <w:jc w:val="both"/>
      </w:pPr>
      <w:r>
        <w:t>Strefa 2</w:t>
      </w:r>
    </w:p>
    <w:p w:rsidR="00826E14" w:rsidRDefault="00E60866" w:rsidP="00E60866">
      <w:pPr>
        <w:jc w:val="both"/>
      </w:pPr>
      <w:r>
        <w:t xml:space="preserve">Z sieciami stacjonarnymi: </w:t>
      </w:r>
    </w:p>
    <w:p w:rsidR="00E60866" w:rsidRDefault="00E60866" w:rsidP="00E60866">
      <w:pPr>
        <w:jc w:val="both"/>
      </w:pPr>
      <w:r>
        <w:t>Albania, Algieria, Argentyna, Armenia, Azerbejdżan, Białoruś, Bośnia i Hercegowina, Brazylia, Chiny, Gruzja, Hongkong, Indie, Izrael, Japonia, Kazachstan, Kirgistan, Korea Południowa, Macedonia, Mołdawia, Monako, Republika Południowej Afryki, Rosja, Rumunia, Serbia i Czarnogóra, Singapur, Tadżykistan, Tajlandia, Tajwan, Turcja, Turkmenistan, Ukraina, Uzbekistan, Wietnam</w:t>
      </w:r>
      <w:r w:rsidR="002512AD">
        <w:t>.</w:t>
      </w:r>
    </w:p>
    <w:p w:rsidR="00826E14" w:rsidRDefault="00E60866" w:rsidP="00E60866">
      <w:pPr>
        <w:jc w:val="both"/>
      </w:pPr>
      <w:r>
        <w:t xml:space="preserve">Z sieciami komórkowymi: </w:t>
      </w:r>
    </w:p>
    <w:p w:rsidR="00E60866" w:rsidRDefault="00E60866" w:rsidP="00E60866">
      <w:pPr>
        <w:jc w:val="both"/>
      </w:pPr>
      <w:r>
        <w:t>Albania, Algieria, Argentyna, Australia, Azerbejdżan, Białoruś, Chiny, Chorwacja, Cypr, Czechy, Dania, Finlandia, Francja, Gruzja, Hiszpania, Holandia, Hongkong, Indie, Irlandia, Izrael, Japonia, Kazachstan, Kirgistan, Korea Południowa, Litwa, Luksemburg, Łotwa, Niemcy, Norwegia, Portugalia, Rosja, Singapur, Słowacja, Tadżykistan, Tajlandia, Tajwan, Turcja, Turkmenistan, Ukraina, Uzbekistan, Węgry, Wielka Brytania, Wietnam</w:t>
      </w:r>
      <w:r w:rsidR="002512AD">
        <w:t>.</w:t>
      </w:r>
    </w:p>
    <w:p w:rsidR="00E60866" w:rsidRDefault="00E60866" w:rsidP="00E60866">
      <w:pPr>
        <w:jc w:val="both"/>
      </w:pPr>
      <w:r>
        <w:t>Strefa 3</w:t>
      </w:r>
    </w:p>
    <w:p w:rsidR="00826E14" w:rsidRDefault="00E60866" w:rsidP="00E60866">
      <w:pPr>
        <w:jc w:val="both"/>
      </w:pPr>
      <w:r>
        <w:t>Z sieciami stacjonarnymi:</w:t>
      </w:r>
    </w:p>
    <w:p w:rsidR="00E60866" w:rsidRDefault="00E60866" w:rsidP="00E60866">
      <w:pPr>
        <w:jc w:val="both"/>
      </w:pPr>
      <w:r>
        <w:t xml:space="preserve"> Arabia Saudyjska, </w:t>
      </w:r>
      <w:proofErr w:type="spellStart"/>
      <w:r>
        <w:t>Bahama</w:t>
      </w:r>
      <w:proofErr w:type="spellEnd"/>
      <w:r>
        <w:t>, Egipt, Iran, Irak, Jemen, Kuwejt, Libia, Malezja, Maroko, Meksyk, Pakistan, Palestyna, Tunezja, Wyspy Dziewicze Stanów Zjednoczonych, Wyspy Dziewicze Wielkiej Brytanii</w:t>
      </w:r>
      <w:r w:rsidR="002512AD">
        <w:t>.</w:t>
      </w:r>
    </w:p>
    <w:p w:rsidR="00826E14" w:rsidRDefault="00E60866" w:rsidP="00E60866">
      <w:pPr>
        <w:jc w:val="both"/>
      </w:pPr>
      <w:r>
        <w:t>Z sieciami komórkowymi:</w:t>
      </w:r>
    </w:p>
    <w:p w:rsidR="00E60866" w:rsidRDefault="00E60866" w:rsidP="00E60866">
      <w:pPr>
        <w:jc w:val="both"/>
      </w:pPr>
      <w:r>
        <w:t xml:space="preserve"> Andora, Arabia Saudyjska, Armenia, Austria, Belgia, Bośnia i Hercegowina, Brazylia, Bułgaria, Egipt, Estonia, Gibraltar, Grecja, Irak, Islandia, Jemen, Kuwejt, Libia, Macedonia, Malezja, Malta, Maroko, Mołdawia, Monako, Nowa Zelandia, Pakistan, Palestyna, Republika Południowej Afryki, Rumunia, Serbia i Czarnogóra, Słowenia, Szwajcaria, Szwecja, Tunezja, Włochy</w:t>
      </w:r>
      <w:r w:rsidR="002512AD">
        <w:t>.</w:t>
      </w:r>
    </w:p>
    <w:p w:rsidR="00E60866" w:rsidRDefault="00E60866" w:rsidP="00E60866">
      <w:pPr>
        <w:jc w:val="both"/>
      </w:pPr>
      <w:r>
        <w:lastRenderedPageBreak/>
        <w:t>Strefa 4</w:t>
      </w:r>
    </w:p>
    <w:p w:rsidR="00826E14" w:rsidRDefault="00E60866" w:rsidP="00E60866">
      <w:pPr>
        <w:jc w:val="both"/>
      </w:pPr>
      <w:r>
        <w:t xml:space="preserve">Z sieciami stacjonarnymi: </w:t>
      </w:r>
    </w:p>
    <w:p w:rsidR="00E60866" w:rsidRDefault="00E60866" w:rsidP="00E60866">
      <w:pPr>
        <w:jc w:val="both"/>
      </w:pPr>
      <w:r>
        <w:t xml:space="preserve">Afganistan, Angola, Anguilla, Antarktyka, Antigua i Barbuda, Antyle Holenderskie, Aruba, Australia-Terytoria Zewnętrzne, Bahrajn, Bangladesz, Barbados, Bermudy, Boliwia, Botswana, Brunei, Burkina Faso, Chile, Czad, Dominika, Dominikana, Ekwador, Etiopia, Falklandy, Fidżi, Filipiny, Gana, Grenada, Grenlandia, Gujana, Gujana Francuska, Gwadelupa, Gwatemala, Gwinea, Gwinea Równikowa, Haiti, Honduras, Indonezja, Jamajka, Jordan, Kambodża, Kamerun, Katar, Kenia, Kolumbia, Kongo, Korea Północna, Kostaryka, Laos, Liberia, Madagaskar, Malediwy, Mali, Martynika, Mauretania, Mauritius, Mikronezja, Mongolia, Mozambik, Namibia, Nepal, Niger, Nigeria, Nikaragua, Oman, Palau, Panama, Paragwaj, Peru, Polinezja Francuska, Portoryko, Republika Środkowoafrykańska, Rwanda, Samoa </w:t>
      </w:r>
      <w:proofErr w:type="spellStart"/>
      <w:r>
        <w:t>Amerykańskia</w:t>
      </w:r>
      <w:proofErr w:type="spellEnd"/>
      <w:r>
        <w:t xml:space="preserve">, Senegal, Seszele, Somalia, Sri Lanka, Sudan, Surinam, Syria, Tanzania, </w:t>
      </w:r>
      <w:proofErr w:type="spellStart"/>
      <w:r>
        <w:t>Trynidad</w:t>
      </w:r>
      <w:proofErr w:type="spellEnd"/>
      <w:r>
        <w:t xml:space="preserve"> i Tobago, Uganda, Urugwaj, Wenezuela, Wyspy Marshalla, Zambia, Zimbabwe, Zjednoczone Emiraty Arabskie</w:t>
      </w:r>
      <w:r w:rsidR="002512AD">
        <w:t>.</w:t>
      </w:r>
    </w:p>
    <w:p w:rsidR="00826E14" w:rsidRDefault="00E60866" w:rsidP="00E60866">
      <w:pPr>
        <w:jc w:val="both"/>
      </w:pPr>
      <w:r>
        <w:t xml:space="preserve">Z sieciami komórkowymi: </w:t>
      </w:r>
    </w:p>
    <w:p w:rsidR="00E60866" w:rsidRDefault="00E60866" w:rsidP="00E60866">
      <w:pPr>
        <w:jc w:val="both"/>
      </w:pPr>
      <w:r>
        <w:t xml:space="preserve">Afganistan, Angola, Antigua i Barbuda, Antyle Holenderskie, Aruba, Bahrajn, Bangladesz, Barbados, Bermudy, Boliwia, Botswana, Brunei, Burkina Faso, Chile, Czad, Dominikana, Ekwador, Etiopia, Filipiny, Gana, Grenada, Grenlandia, Gujana, Gujana Francuska, Gwadelupa, Gwatemala, Gwinea, Haiti, Honduras, Indonezja, Iran, Jamajka, Jordan, Kambodża, Kamerun, Katar, Kenia, Kolumbia, Kongo, Kostaryka, Liberia, Lichtenstein, Madagaskar, Mali, Martynika, Mauritius, Mozambik, Namibia, Nepal, Nigeria, Nikaragua, Panama, Paragwaj, Peru, Rwanda, Senegal, Seszele, Sri Lanka, Sudan, Surinam, Syria, Tanzania, Togo, </w:t>
      </w:r>
      <w:proofErr w:type="spellStart"/>
      <w:r>
        <w:t>Trynidad</w:t>
      </w:r>
      <w:proofErr w:type="spellEnd"/>
      <w:r>
        <w:t xml:space="preserve"> i Tobago, Uganda, Urugwaj, Wenezuela, Zambia, Zimbabwe, Zjednoczone Emiraty Arabskie</w:t>
      </w:r>
      <w:r w:rsidR="002512AD">
        <w:t>.</w:t>
      </w:r>
    </w:p>
    <w:p w:rsidR="00E60866" w:rsidRDefault="00E60866" w:rsidP="00E60866">
      <w:pPr>
        <w:jc w:val="both"/>
      </w:pPr>
      <w:r>
        <w:t>Strefa 5</w:t>
      </w:r>
    </w:p>
    <w:p w:rsidR="00826E14" w:rsidRDefault="00E60866" w:rsidP="00E60866">
      <w:pPr>
        <w:jc w:val="both"/>
      </w:pPr>
      <w:r>
        <w:t xml:space="preserve">Z sieciami stacjonarnymi: </w:t>
      </w:r>
    </w:p>
    <w:p w:rsidR="00E60866" w:rsidRDefault="00E60866" w:rsidP="00E60866">
      <w:pPr>
        <w:jc w:val="both"/>
      </w:pPr>
      <w:r>
        <w:t xml:space="preserve">Belize, Benin, Bhutan, Birma, Burundi, Diego Garcia, Dżibuti, Salwador, Erytrea, Gabon, Gambia, Guam, Guantanamo, Gwinea Bissau, Kajmany, Kiribati, Komory, Kuba, Lesotho, Liban, Makau, Malawi, Mariany, Północne, Montserrat, Nauru, Niue, Norfolk, Nowa Kaledonia, Papua Nowa Gwinea, Reunion, Święta Helena, Saint Kitts, Saint Lucia, Saint Pierre i Miquelon, Saint Vincent i </w:t>
      </w:r>
      <w:proofErr w:type="spellStart"/>
      <w:r>
        <w:t>Grenadines</w:t>
      </w:r>
      <w:proofErr w:type="spellEnd"/>
      <w:r>
        <w:t xml:space="preserve">, Samoa Zachodnia, Wyspy Św. Tomasza i Książęca, Sierra Leone, </w:t>
      </w:r>
      <w:proofErr w:type="spellStart"/>
      <w:r>
        <w:t>Suzazi</w:t>
      </w:r>
      <w:proofErr w:type="spellEnd"/>
      <w:r>
        <w:t>, Togo, Tokelau, Tonga, Turks i Caicos, Tuvalu, Vanuatu, Wallis i Futuna, Wybrzeże Kości Słoniowej, Wyspy Cooka, Wyspy Owcze, Wyspy Salomona, Wyspy Wniebowstąpienia, Wyspy Zielonego Przylądka</w:t>
      </w:r>
      <w:r w:rsidR="002512AD">
        <w:t>.</w:t>
      </w:r>
    </w:p>
    <w:p w:rsidR="00826E14" w:rsidRDefault="00E60866" w:rsidP="00E60866">
      <w:pPr>
        <w:jc w:val="both"/>
      </w:pPr>
      <w:r>
        <w:t xml:space="preserve">Z sieciami komórkowymi: </w:t>
      </w:r>
    </w:p>
    <w:p w:rsidR="00E60866" w:rsidRDefault="00E60866" w:rsidP="00E60866">
      <w:pPr>
        <w:jc w:val="both"/>
      </w:pPr>
      <w:r>
        <w:t xml:space="preserve">Belize, Benin, Birma, Dżibuti, Salwador, Gabon, Gambia, Komory, Kuba, Lesotho, Liban, Makau, Malawi, Papua Nowa Gwinea, Reunion, Saint Lucia, Saint Vincent i </w:t>
      </w:r>
      <w:proofErr w:type="spellStart"/>
      <w:r>
        <w:t>Grenadines</w:t>
      </w:r>
      <w:proofErr w:type="spellEnd"/>
      <w:r>
        <w:t>, Sierra Leone, Vanuatu, Wybrzeże Kości Słoniowej, Wyspy Owcze, Wyspy Zielonego Przyl</w:t>
      </w:r>
      <w:r w:rsidR="002512AD">
        <w:t>ądka.</w:t>
      </w:r>
    </w:p>
    <w:p w:rsidR="0042229A" w:rsidRDefault="000002E2" w:rsidP="00E60866">
      <w:pPr>
        <w:jc w:val="both"/>
      </w:pPr>
      <w:r>
        <w:t>Ponadto Wykonawca zobowiązany będzie świadczyć usługi w zakresie krajowych połączeń</w:t>
      </w:r>
      <w:bookmarkStart w:id="0" w:name="_GoBack"/>
      <w:bookmarkEnd w:id="0"/>
      <w:r>
        <w:t xml:space="preserve"> z numerami stacjonarnymi i komórkowymi.</w:t>
      </w:r>
    </w:p>
    <w:p w:rsidR="002512AD" w:rsidRDefault="002512AD" w:rsidP="00E60866">
      <w:pPr>
        <w:jc w:val="both"/>
      </w:pPr>
    </w:p>
    <w:p w:rsidR="0042229A" w:rsidRDefault="0042229A" w:rsidP="0042229A">
      <w:pPr>
        <w:pStyle w:val="Akapitzlist"/>
        <w:jc w:val="both"/>
      </w:pPr>
      <w:r>
        <w:lastRenderedPageBreak/>
        <w:t>Wykonawca powinien wkalkulować w cenę oferty</w:t>
      </w:r>
      <w:r w:rsidR="00ED474C">
        <w:t>:</w:t>
      </w:r>
    </w:p>
    <w:p w:rsidR="003D1515" w:rsidRDefault="00ED474C" w:rsidP="003D1515">
      <w:pPr>
        <w:pStyle w:val="Akapitzlist"/>
        <w:numPr>
          <w:ilvl w:val="0"/>
          <w:numId w:val="5"/>
        </w:numPr>
        <w:jc w:val="both"/>
      </w:pPr>
      <w:r>
        <w:t>koszt instalacji usług,</w:t>
      </w:r>
    </w:p>
    <w:p w:rsidR="00ED474C" w:rsidRDefault="00ED474C" w:rsidP="007B3F6A">
      <w:pPr>
        <w:pStyle w:val="Akapitzlist"/>
        <w:numPr>
          <w:ilvl w:val="0"/>
          <w:numId w:val="5"/>
        </w:numPr>
        <w:jc w:val="both"/>
      </w:pPr>
      <w:r>
        <w:t>k</w:t>
      </w:r>
      <w:r w:rsidR="003D1515">
        <w:t>oszty abonamentów za usługi</w:t>
      </w:r>
      <w:r w:rsidR="007B3F6A">
        <w:t>,</w:t>
      </w:r>
    </w:p>
    <w:p w:rsidR="006A583C" w:rsidRDefault="007B3F6A" w:rsidP="006A583C">
      <w:pPr>
        <w:pStyle w:val="Akapitzlist"/>
        <w:numPr>
          <w:ilvl w:val="0"/>
          <w:numId w:val="9"/>
        </w:numPr>
        <w:jc w:val="both"/>
      </w:pPr>
      <w:r>
        <w:t>d</w:t>
      </w:r>
      <w:r w:rsidR="006A583C">
        <w:t>zierżaw</w:t>
      </w:r>
      <w:r>
        <w:t>ę</w:t>
      </w:r>
      <w:r w:rsidR="006A583C">
        <w:t xml:space="preserve"> kanalizacji pod kabel FO  - 150 PLN netto/m-c po 90 % rabacie (koszt bez rabatu - 1500 PLN netto/m-c)  - w przypadku dla istniejących operatorów z przyłączem do budynku rabat na dzierżawę kanalizacji będzie zgodny z zapisami umowy</w:t>
      </w:r>
      <w:r>
        <w:t>,</w:t>
      </w:r>
    </w:p>
    <w:p w:rsidR="006A583C" w:rsidRDefault="007B3F6A" w:rsidP="006A583C">
      <w:pPr>
        <w:pStyle w:val="Akapitzlist"/>
        <w:numPr>
          <w:ilvl w:val="0"/>
          <w:numId w:val="9"/>
        </w:numPr>
        <w:jc w:val="both"/>
      </w:pPr>
      <w:r>
        <w:t>k</w:t>
      </w:r>
      <w:r w:rsidR="006A583C">
        <w:t>olokacj</w:t>
      </w:r>
      <w:r>
        <w:t>ę</w:t>
      </w:r>
      <w:r w:rsidR="006A583C">
        <w:t xml:space="preserve"> za każde 1U w pomieszczeniu technicznym – 75 PLN netto/m-c  (opcjonalnie,  jw.)</w:t>
      </w:r>
    </w:p>
    <w:p w:rsidR="006A583C" w:rsidRDefault="006A583C" w:rsidP="006A583C">
      <w:pPr>
        <w:pStyle w:val="Akapitzlist"/>
        <w:numPr>
          <w:ilvl w:val="0"/>
          <w:numId w:val="9"/>
        </w:numPr>
        <w:jc w:val="both"/>
      </w:pPr>
      <w:r>
        <w:t xml:space="preserve">Dzierżawa 2J w relacji: serwerownia budynkowa-&gt; serwerownia FRSE  p +3 – 835 PLN netto/m-c </w:t>
      </w:r>
    </w:p>
    <w:p w:rsidR="006A583C" w:rsidRDefault="006A583C" w:rsidP="006A583C">
      <w:pPr>
        <w:pStyle w:val="Akapitzlist"/>
        <w:numPr>
          <w:ilvl w:val="0"/>
          <w:numId w:val="9"/>
        </w:numPr>
        <w:jc w:val="both"/>
      </w:pPr>
      <w:r>
        <w:t>Dzierżawa miejsca na dachu pod wspornik i antenę o średnicy do 45 cm wraz z przewodem antenowym drogą kablową bezpośrednio do serwerowni FRSE p. +3 – 750 PLN netto/ m-c</w:t>
      </w:r>
    </w:p>
    <w:p w:rsidR="00BE0A75" w:rsidRDefault="00BE0A75" w:rsidP="00723F28">
      <w:pPr>
        <w:jc w:val="both"/>
      </w:pPr>
    </w:p>
    <w:sectPr w:rsidR="00BE0A7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26" w:rsidRDefault="00DC5F26" w:rsidP="00DC5F26">
      <w:pPr>
        <w:spacing w:after="0" w:line="240" w:lineRule="auto"/>
      </w:pPr>
      <w:r>
        <w:separator/>
      </w:r>
    </w:p>
  </w:endnote>
  <w:endnote w:type="continuationSeparator" w:id="0">
    <w:p w:rsidR="00DC5F26" w:rsidRDefault="00DC5F26" w:rsidP="00DC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26" w:rsidRDefault="00DC5F26" w:rsidP="00DC5F26">
      <w:pPr>
        <w:spacing w:after="0" w:line="240" w:lineRule="auto"/>
      </w:pPr>
      <w:r>
        <w:separator/>
      </w:r>
    </w:p>
  </w:footnote>
  <w:footnote w:type="continuationSeparator" w:id="0">
    <w:p w:rsidR="00DC5F26" w:rsidRDefault="00DC5F26" w:rsidP="00DC5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9A" w:rsidRDefault="0042229A">
    <w:pPr>
      <w:pStyle w:val="Nagwek"/>
    </w:pPr>
    <w:r>
      <w:tab/>
    </w:r>
    <w:r>
      <w:tab/>
      <w:t>Załącznik nr 1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109"/>
    <w:multiLevelType w:val="hybridMultilevel"/>
    <w:tmpl w:val="1A824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610F58"/>
    <w:multiLevelType w:val="hybridMultilevel"/>
    <w:tmpl w:val="92F68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3E2729"/>
    <w:multiLevelType w:val="hybridMultilevel"/>
    <w:tmpl w:val="342AB0A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AC04C7"/>
    <w:multiLevelType w:val="hybridMultilevel"/>
    <w:tmpl w:val="CAB64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344A54"/>
    <w:multiLevelType w:val="hybridMultilevel"/>
    <w:tmpl w:val="95C88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917151"/>
    <w:multiLevelType w:val="hybridMultilevel"/>
    <w:tmpl w:val="2DCC3F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6443DC"/>
    <w:multiLevelType w:val="hybridMultilevel"/>
    <w:tmpl w:val="1D1872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299207E"/>
    <w:multiLevelType w:val="hybridMultilevel"/>
    <w:tmpl w:val="92ECD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4746247"/>
    <w:multiLevelType w:val="hybridMultilevel"/>
    <w:tmpl w:val="10E47CC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7B5D0492"/>
    <w:multiLevelType w:val="hybridMultilevel"/>
    <w:tmpl w:val="0CFEE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9"/>
  </w:num>
  <w:num w:numId="6">
    <w:abstractNumId w:val="0"/>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18"/>
    <w:rsid w:val="000002E2"/>
    <w:rsid w:val="00020318"/>
    <w:rsid w:val="000C2C52"/>
    <w:rsid w:val="00177B43"/>
    <w:rsid w:val="002512AD"/>
    <w:rsid w:val="002559C0"/>
    <w:rsid w:val="003105DD"/>
    <w:rsid w:val="00335707"/>
    <w:rsid w:val="00364EEC"/>
    <w:rsid w:val="003D1515"/>
    <w:rsid w:val="0042229A"/>
    <w:rsid w:val="004B6D77"/>
    <w:rsid w:val="0061449F"/>
    <w:rsid w:val="00671493"/>
    <w:rsid w:val="00686167"/>
    <w:rsid w:val="006A583C"/>
    <w:rsid w:val="006B31C2"/>
    <w:rsid w:val="00723F28"/>
    <w:rsid w:val="007B3F6A"/>
    <w:rsid w:val="007E05AF"/>
    <w:rsid w:val="00826E14"/>
    <w:rsid w:val="00855218"/>
    <w:rsid w:val="00890642"/>
    <w:rsid w:val="008F7EE2"/>
    <w:rsid w:val="0096246D"/>
    <w:rsid w:val="009857F0"/>
    <w:rsid w:val="00A77C68"/>
    <w:rsid w:val="00A77CCB"/>
    <w:rsid w:val="00AF5778"/>
    <w:rsid w:val="00B07F44"/>
    <w:rsid w:val="00B13721"/>
    <w:rsid w:val="00B842A1"/>
    <w:rsid w:val="00BE0A75"/>
    <w:rsid w:val="00BE770A"/>
    <w:rsid w:val="00C430F9"/>
    <w:rsid w:val="00CB39B2"/>
    <w:rsid w:val="00D75A03"/>
    <w:rsid w:val="00DC5F26"/>
    <w:rsid w:val="00E60866"/>
    <w:rsid w:val="00ED474C"/>
    <w:rsid w:val="00F52E34"/>
    <w:rsid w:val="00FE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0318"/>
    <w:pPr>
      <w:ind w:left="720"/>
      <w:contextualSpacing/>
    </w:pPr>
  </w:style>
  <w:style w:type="paragraph" w:styleId="Nagwek">
    <w:name w:val="header"/>
    <w:basedOn w:val="Normalny"/>
    <w:link w:val="NagwekZnak"/>
    <w:uiPriority w:val="99"/>
    <w:unhideWhenUsed/>
    <w:rsid w:val="00DC5F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F26"/>
  </w:style>
  <w:style w:type="paragraph" w:styleId="Stopka">
    <w:name w:val="footer"/>
    <w:basedOn w:val="Normalny"/>
    <w:link w:val="StopkaZnak"/>
    <w:uiPriority w:val="99"/>
    <w:unhideWhenUsed/>
    <w:rsid w:val="00DC5F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F26"/>
  </w:style>
  <w:style w:type="table" w:styleId="Tabela-Siatka">
    <w:name w:val="Table Grid"/>
    <w:basedOn w:val="Standardowy"/>
    <w:uiPriority w:val="59"/>
    <w:rsid w:val="00A7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0318"/>
    <w:pPr>
      <w:ind w:left="720"/>
      <w:contextualSpacing/>
    </w:pPr>
  </w:style>
  <w:style w:type="paragraph" w:styleId="Nagwek">
    <w:name w:val="header"/>
    <w:basedOn w:val="Normalny"/>
    <w:link w:val="NagwekZnak"/>
    <w:uiPriority w:val="99"/>
    <w:unhideWhenUsed/>
    <w:rsid w:val="00DC5F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F26"/>
  </w:style>
  <w:style w:type="paragraph" w:styleId="Stopka">
    <w:name w:val="footer"/>
    <w:basedOn w:val="Normalny"/>
    <w:link w:val="StopkaZnak"/>
    <w:uiPriority w:val="99"/>
    <w:unhideWhenUsed/>
    <w:rsid w:val="00DC5F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F26"/>
  </w:style>
  <w:style w:type="table" w:styleId="Tabela-Siatka">
    <w:name w:val="Table Grid"/>
    <w:basedOn w:val="Standardowy"/>
    <w:uiPriority w:val="59"/>
    <w:rsid w:val="00A7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1061</Words>
  <Characters>6369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Stefanowicz</dc:creator>
  <cp:lastModifiedBy>psosnowski</cp:lastModifiedBy>
  <cp:revision>4</cp:revision>
  <cp:lastPrinted>2018-03-08T07:57:00Z</cp:lastPrinted>
  <dcterms:created xsi:type="dcterms:W3CDTF">2018-03-16T09:45:00Z</dcterms:created>
  <dcterms:modified xsi:type="dcterms:W3CDTF">2018-03-21T13:38:00Z</dcterms:modified>
</cp:coreProperties>
</file>