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7C" w:rsidRDefault="00845D7C" w:rsidP="00E15EA9">
      <w:pPr>
        <w:pStyle w:val="Nagwek2"/>
      </w:pPr>
      <w:bookmarkStart w:id="0" w:name="_Toc489303191"/>
      <w:bookmarkStart w:id="1" w:name="_GoBack"/>
      <w:bookmarkEnd w:id="1"/>
      <w:r>
        <w:t>Wskaźniki kluczowe w modelu</w:t>
      </w:r>
      <w:r w:rsidRPr="002A751E">
        <w:t xml:space="preserve"> współpra</w:t>
      </w:r>
      <w:r>
        <w:t>cy uczelnie-</w:t>
      </w:r>
      <w:r w:rsidRPr="002A751E">
        <w:t>biznes</w:t>
      </w:r>
      <w:bookmarkEnd w:id="0"/>
    </w:p>
    <w:p w:rsidR="00845D7C" w:rsidRPr="00E15EA9" w:rsidRDefault="00845D7C" w:rsidP="00845D7C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E15EA9">
        <w:rPr>
          <w:rFonts w:ascii="Calibri" w:eastAsia="Calibri" w:hAnsi="Calibri" w:cs="Times New Roman"/>
          <w:b/>
          <w:sz w:val="24"/>
          <w:szCs w:val="24"/>
        </w:rPr>
        <w:t>WYMIAR 1: WSPÓŁPRACA W OBSZARZE R&amp;D</w:t>
      </w:r>
    </w:p>
    <w:p w:rsidR="00845D7C" w:rsidRPr="00781B8D" w:rsidRDefault="00845D7C" w:rsidP="00845D7C">
      <w:pPr>
        <w:pStyle w:val="Akapitzlist"/>
        <w:numPr>
          <w:ilvl w:val="0"/>
          <w:numId w:val="1"/>
        </w:numPr>
        <w:spacing w:after="160" w:line="259" w:lineRule="auto"/>
      </w:pPr>
      <w:r w:rsidRPr="00781B8D">
        <w:t>projekty R&amp;D wspólne i zlecone</w:t>
      </w:r>
    </w:p>
    <w:tbl>
      <w:tblPr>
        <w:tblStyle w:val="Tabelasiatki4akcent21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845D7C" w:rsidRPr="000E2AD5" w:rsidTr="00E1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</w:tcPr>
          <w:p w:rsidR="00845D7C" w:rsidRPr="000E2AD5" w:rsidRDefault="00845D7C" w:rsidP="00E15EA9">
            <w:pPr>
              <w:ind w:right="113"/>
              <w:rPr>
                <w:rFonts w:ascii="Calibri" w:hAnsi="Calibri" w:cs="Times New Roman"/>
                <w:i/>
              </w:rPr>
            </w:pPr>
            <w:r w:rsidRPr="000E2AD5">
              <w:rPr>
                <w:rFonts w:ascii="Calibri" w:hAnsi="Calibri" w:cs="Times New Roman"/>
                <w:i/>
              </w:rPr>
              <w:t>Udział przychodów ze wspólnych projektów w całkowitych przychodach z działalności badawczej</w:t>
            </w:r>
          </w:p>
        </w:tc>
      </w:tr>
      <w:tr w:rsidR="00845D7C" w:rsidRPr="000E2AD5" w:rsidTr="00E1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Udział przychów z badań zleconych w całości przychodów z badań </w:t>
            </w:r>
          </w:p>
        </w:tc>
      </w:tr>
      <w:tr w:rsidR="00845D7C" w:rsidRPr="000E2AD5" w:rsidTr="00E15EA9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Udział nakładów z biznesu na finansowanie B+R w całkowitych wydatkach na działania B+R (obszar – badania i rozwój) </w:t>
            </w:r>
          </w:p>
        </w:tc>
      </w:tr>
      <w:tr w:rsidR="00845D7C" w:rsidRPr="000E2AD5" w:rsidTr="00E1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Łączna liczba poszczególnych typów umów podpisanych w ostatnim roku w podziale na: umowy na badania zlecone i umowy na badania wspólne </w:t>
            </w:r>
          </w:p>
        </w:tc>
      </w:tr>
      <w:tr w:rsidR="00845D7C" w:rsidRPr="000E2AD5" w:rsidTr="00E15EA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8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niepowtarzalnych przedsiębiorców z którymi podpisano umowy o współpracę</w:t>
            </w:r>
          </w:p>
        </w:tc>
      </w:tr>
    </w:tbl>
    <w:p w:rsidR="00845D7C" w:rsidRPr="00781B8D" w:rsidRDefault="00845D7C" w:rsidP="00845D7C">
      <w:pPr>
        <w:pStyle w:val="Akapitzlist"/>
        <w:numPr>
          <w:ilvl w:val="0"/>
          <w:numId w:val="1"/>
        </w:numPr>
        <w:spacing w:after="160" w:line="259" w:lineRule="auto"/>
      </w:pPr>
      <w:r>
        <w:t>wspólne p</w:t>
      </w:r>
      <w:r w:rsidRPr="00781B8D">
        <w:t>ublikacje</w:t>
      </w:r>
    </w:p>
    <w:tbl>
      <w:tblPr>
        <w:tblStyle w:val="Tabelasiatki4akcent21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845D7C" w:rsidRPr="000E2AD5" w:rsidTr="00E1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Times New Roman"/>
                <w:i/>
              </w:rPr>
            </w:pPr>
            <w:r w:rsidRPr="000E2AD5">
              <w:rPr>
                <w:rFonts w:ascii="Calibri" w:hAnsi="Calibri" w:cs="Times New Roman"/>
                <w:i/>
              </w:rPr>
              <w:t>Udział artykułów akademickich przygotowanych we współpracy z przynajmniej jednym przedstawicielem biznesu w ogóle artykułów opublikowanych przez jednostkę</w:t>
            </w:r>
          </w:p>
        </w:tc>
      </w:tr>
      <w:tr w:rsidR="00845D7C" w:rsidRPr="000E2AD5" w:rsidTr="00E1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cytowań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artykułów opracowanych wspólnie z przedstawicielami biznesu</w:t>
            </w:r>
          </w:p>
        </w:tc>
      </w:tr>
    </w:tbl>
    <w:p w:rsidR="00845D7C" w:rsidRDefault="00845D7C" w:rsidP="00845D7C">
      <w:pPr>
        <w:pStyle w:val="Akapitzlist"/>
        <w:numPr>
          <w:ilvl w:val="0"/>
          <w:numId w:val="1"/>
        </w:numPr>
        <w:spacing w:after="160" w:line="259" w:lineRule="auto"/>
      </w:pPr>
      <w:r w:rsidRPr="00781B8D">
        <w:t>prace dyplomowe</w:t>
      </w:r>
    </w:p>
    <w:tbl>
      <w:tblPr>
        <w:tblStyle w:val="Tabelasiatki4akcent21"/>
        <w:tblW w:w="9533" w:type="dxa"/>
        <w:tblLook w:val="04A0" w:firstRow="1" w:lastRow="0" w:firstColumn="1" w:lastColumn="0" w:noHBand="0" w:noVBand="1"/>
      </w:tblPr>
      <w:tblGrid>
        <w:gridCol w:w="9533"/>
      </w:tblGrid>
      <w:tr w:rsidR="00845D7C" w:rsidRPr="000E2AD5" w:rsidTr="00E15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Times New Roman"/>
                <w:i/>
              </w:rPr>
            </w:pPr>
            <w:r w:rsidRPr="000E2AD5">
              <w:rPr>
                <w:rFonts w:ascii="Calibri" w:hAnsi="Calibri" w:cs="Times New Roman"/>
                <w:i/>
              </w:rPr>
              <w:t>Liczba prac dyplomowych (licencjackich, magisterskich, doktorskich) napisana pod wspólnym nadzorem pracownika naukowego i przedstawiciela biznesu</w:t>
            </w:r>
          </w:p>
        </w:tc>
      </w:tr>
      <w:tr w:rsidR="00845D7C" w:rsidRPr="000E2AD5" w:rsidTr="00E15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3" w:type="dxa"/>
          </w:tcPr>
          <w:p w:rsidR="00845D7C" w:rsidRPr="000E2AD5" w:rsidRDefault="00845D7C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absolwentów, którzy uzyskali tytuł/stopień naukowy na postawie pracy powstałych we współpracy uczelni z biznesem </w:t>
            </w:r>
          </w:p>
        </w:tc>
      </w:tr>
    </w:tbl>
    <w:p w:rsidR="00845D7C" w:rsidRPr="00E15EA9" w:rsidRDefault="00845D7C" w:rsidP="00845D7C">
      <w:pPr>
        <w:spacing w:after="160" w:line="259" w:lineRule="auto"/>
        <w:rPr>
          <w:sz w:val="24"/>
          <w:szCs w:val="24"/>
        </w:rPr>
      </w:pPr>
    </w:p>
    <w:p w:rsidR="00845D7C" w:rsidRPr="00E15EA9" w:rsidRDefault="00845D7C" w:rsidP="00845D7C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E15EA9">
        <w:rPr>
          <w:rFonts w:ascii="Calibri" w:eastAsia="Calibri" w:hAnsi="Calibri" w:cs="Times New Roman"/>
          <w:b/>
          <w:sz w:val="24"/>
          <w:szCs w:val="24"/>
        </w:rPr>
        <w:t xml:space="preserve">WYMIAR 2: MOBILNOŚĆ KADRY I STUDENTÓW </w:t>
      </w:r>
    </w:p>
    <w:p w:rsidR="00845D7C" w:rsidRPr="00676CFC" w:rsidRDefault="00845D7C" w:rsidP="00845D7C">
      <w:pPr>
        <w:spacing w:after="160" w:line="259" w:lineRule="auto"/>
        <w:rPr>
          <w:rFonts w:ascii="Calibri" w:eastAsia="Calibri" w:hAnsi="Calibri" w:cs="Times New Roman"/>
        </w:rPr>
      </w:pPr>
      <w:r w:rsidRPr="00676CFC">
        <w:rPr>
          <w:rFonts w:ascii="Calibri" w:eastAsia="Calibri" w:hAnsi="Calibri" w:cs="Times New Roman"/>
        </w:rPr>
        <w:t>PODWYMIAR1: MOBILNOŚĆ PRACOWNIKÓW</w:t>
      </w:r>
    </w:p>
    <w:p w:rsidR="00845D7C" w:rsidRPr="00771B7E" w:rsidRDefault="00845D7C" w:rsidP="00771B7E">
      <w:pPr>
        <w:pStyle w:val="Akapitzlist"/>
        <w:numPr>
          <w:ilvl w:val="0"/>
          <w:numId w:val="1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771B7E">
        <w:rPr>
          <w:rFonts w:ascii="Calibri" w:eastAsia="Calibri" w:hAnsi="Calibri" w:cs="Times New Roman"/>
        </w:rPr>
        <w:t>wizyty studyjne naukowców i przedsiębiorców</w:t>
      </w:r>
    </w:p>
    <w:tbl>
      <w:tblPr>
        <w:tblStyle w:val="Tabelasiatki4akcent22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771B7E" w:rsidRPr="00676CFC" w:rsidTr="001A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676CFC" w:rsidRDefault="00771B7E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przeprowadzonych wizyt studyjnych (pracownicy uczelni i przedstawiciele biznesu)</w:t>
            </w:r>
          </w:p>
        </w:tc>
      </w:tr>
      <w:tr w:rsidR="00771B7E" w:rsidRPr="00676CFC" w:rsidTr="001A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676CFC" w:rsidRDefault="00771B7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Odsetek pracowników uczelni biorących udział w wizytach studyjnych w ciągu ostatniego roku</w:t>
            </w:r>
          </w:p>
        </w:tc>
      </w:tr>
    </w:tbl>
    <w:p w:rsidR="00771B7E" w:rsidRPr="00771B7E" w:rsidRDefault="00771B7E" w:rsidP="00771B7E">
      <w:pPr>
        <w:pStyle w:val="Akapitzlist"/>
        <w:numPr>
          <w:ilvl w:val="0"/>
          <w:numId w:val="1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771B7E">
        <w:rPr>
          <w:rFonts w:ascii="Calibri" w:eastAsia="Calibri" w:hAnsi="Calibri" w:cs="Times New Roman"/>
        </w:rPr>
        <w:t>staże naukowców w przedsiębiorstwach</w:t>
      </w:r>
    </w:p>
    <w:tbl>
      <w:tblPr>
        <w:tblStyle w:val="Tabelasiatki4akcent22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771B7E" w:rsidRPr="00676CFC" w:rsidTr="001A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676CFC" w:rsidRDefault="00771B7E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pracowników uczelni biorących udział w stażach</w:t>
            </w:r>
          </w:p>
        </w:tc>
      </w:tr>
      <w:tr w:rsidR="00771B7E" w:rsidRPr="00676CFC" w:rsidTr="001A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676CFC" w:rsidRDefault="00771B7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Odsetek pracowników uczelni biorących udział w stażach</w:t>
            </w:r>
          </w:p>
        </w:tc>
      </w:tr>
      <w:tr w:rsidR="00771B7E" w:rsidRPr="00676CFC" w:rsidTr="001A0E3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676CFC" w:rsidRDefault="00771B7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miejsc na stażach w przedsiębiorstwach oferowanych przez uniwersytet (staże pracownicze)</w:t>
            </w:r>
          </w:p>
        </w:tc>
      </w:tr>
      <w:tr w:rsidR="00771B7E" w:rsidRPr="00676CFC" w:rsidTr="001A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676CFC" w:rsidRDefault="00771B7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 xml:space="preserve">Liczba stypendiów stażowych dla pracowników uczelni finansowanych przez biznes </w:t>
            </w:r>
          </w:p>
        </w:tc>
      </w:tr>
    </w:tbl>
    <w:p w:rsidR="00771B7E" w:rsidRDefault="00771B7E" w:rsidP="00771B7E">
      <w:pPr>
        <w:pStyle w:val="Akapitzlist"/>
        <w:numPr>
          <w:ilvl w:val="0"/>
          <w:numId w:val="1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771B7E">
        <w:rPr>
          <w:rFonts w:ascii="Calibri" w:eastAsia="Calibri" w:hAnsi="Calibri" w:cs="Times New Roman"/>
        </w:rPr>
        <w:t>zatrudnienie pracowników biznesowych do pracy na uczelni</w:t>
      </w:r>
    </w:p>
    <w:tbl>
      <w:tblPr>
        <w:tblStyle w:val="Tabelasiatki4akcent22"/>
        <w:tblW w:w="9398" w:type="dxa"/>
        <w:tblLook w:val="04A0" w:firstRow="1" w:lastRow="0" w:firstColumn="1" w:lastColumn="0" w:noHBand="0" w:noVBand="1"/>
      </w:tblPr>
      <w:tblGrid>
        <w:gridCol w:w="9398"/>
      </w:tblGrid>
      <w:tr w:rsidR="00771B7E" w:rsidRPr="000E2AD5" w:rsidTr="001A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0E2AD5" w:rsidRDefault="00771B7E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0E2AD5">
              <w:rPr>
                <w:rFonts w:ascii="Calibri" w:eastAsia="Calibri" w:hAnsi="Calibri" w:cs="Calibri"/>
                <w:i/>
                <w:iCs/>
                <w:color w:val="000000"/>
              </w:rPr>
              <w:t>Liczba pracowników przedsiębiorstw, którzy czasowo pracują na uniwersytecie (pracownicy oddelegowani)</w:t>
            </w:r>
          </w:p>
        </w:tc>
      </w:tr>
      <w:tr w:rsidR="00771B7E" w:rsidRPr="000E2AD5" w:rsidTr="001A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8" w:type="dxa"/>
          </w:tcPr>
          <w:p w:rsidR="00771B7E" w:rsidRPr="000E2AD5" w:rsidRDefault="00771B7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0E2AD5">
              <w:rPr>
                <w:rFonts w:ascii="Calibri" w:eastAsia="Calibri" w:hAnsi="Calibri" w:cs="Calibri"/>
                <w:i/>
                <w:iCs/>
                <w:color w:val="000000"/>
              </w:rPr>
              <w:t>Liczba stanowisk kierowniczych (niższego i wyższego szczebla) na uczelni obejmowanych przez przedstawicieli biznesu</w:t>
            </w:r>
          </w:p>
        </w:tc>
      </w:tr>
    </w:tbl>
    <w:p w:rsidR="001A0E3E" w:rsidRPr="001A0E3E" w:rsidRDefault="001A0E3E" w:rsidP="001A0E3E">
      <w:pPr>
        <w:pStyle w:val="Akapitzlist"/>
        <w:numPr>
          <w:ilvl w:val="0"/>
          <w:numId w:val="1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1A0E3E">
        <w:rPr>
          <w:rFonts w:ascii="Calibri" w:eastAsia="Calibri" w:hAnsi="Calibri" w:cs="Times New Roman"/>
        </w:rPr>
        <w:t>zatrudnienie pracowników uczelni do pracy w biznesie</w:t>
      </w:r>
    </w:p>
    <w:tbl>
      <w:tblPr>
        <w:tblStyle w:val="Tabelasiatki4akcent22"/>
        <w:tblW w:w="9465" w:type="dxa"/>
        <w:tblLook w:val="04A0" w:firstRow="1" w:lastRow="0" w:firstColumn="1" w:lastColumn="0" w:noHBand="0" w:noVBand="1"/>
      </w:tblPr>
      <w:tblGrid>
        <w:gridCol w:w="9465"/>
      </w:tblGrid>
      <w:tr w:rsidR="001A0E3E" w:rsidRPr="00676CFC" w:rsidTr="001A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</w:tcPr>
          <w:p w:rsidR="001A0E3E" w:rsidRPr="00676CFC" w:rsidRDefault="001A0E3E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pracowników uniwersytetu, którzy czasowo pracują w przedsiębiorstwach (pracownicy oddelegowani)</w:t>
            </w:r>
          </w:p>
        </w:tc>
      </w:tr>
      <w:tr w:rsidR="001A0E3E" w:rsidRPr="00676CFC" w:rsidTr="001A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</w:tcPr>
          <w:p w:rsidR="001A0E3E" w:rsidRPr="00676CFC" w:rsidRDefault="001A0E3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stanowisk kierowniczych (niższego i wyższego szczebla) w przedsiębiorstwach zajmowanych przez pracowników uczelni</w:t>
            </w:r>
          </w:p>
        </w:tc>
      </w:tr>
      <w:tr w:rsidR="001A0E3E" w:rsidRPr="00676CFC" w:rsidTr="001A0E3E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5" w:type="dxa"/>
          </w:tcPr>
          <w:p w:rsidR="001A0E3E" w:rsidRPr="00676CFC" w:rsidRDefault="001A0E3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umów (zleceń) z biznesem, które zrealizowali pracownicy uczelni w ciągu ostatniego roku</w:t>
            </w:r>
          </w:p>
        </w:tc>
      </w:tr>
    </w:tbl>
    <w:p w:rsidR="006F2C2B" w:rsidRDefault="006F2C2B" w:rsidP="006F2C2B">
      <w:pPr>
        <w:tabs>
          <w:tab w:val="center" w:pos="4536"/>
        </w:tabs>
        <w:spacing w:after="160" w:line="259" w:lineRule="auto"/>
        <w:rPr>
          <w:rFonts w:ascii="Calibri" w:eastAsia="Calibri" w:hAnsi="Calibri" w:cs="Times New Roman"/>
        </w:rPr>
      </w:pPr>
    </w:p>
    <w:p w:rsidR="006F2C2B" w:rsidRPr="00676CFC" w:rsidRDefault="006F2C2B" w:rsidP="006F2C2B">
      <w:pPr>
        <w:tabs>
          <w:tab w:val="center" w:pos="4536"/>
        </w:tabs>
        <w:spacing w:after="160" w:line="259" w:lineRule="auto"/>
        <w:rPr>
          <w:rFonts w:ascii="Calibri" w:eastAsia="Calibri" w:hAnsi="Calibri" w:cs="Times New Roman"/>
        </w:rPr>
      </w:pPr>
      <w:r w:rsidRPr="00676CFC">
        <w:rPr>
          <w:rFonts w:ascii="Calibri" w:eastAsia="Calibri" w:hAnsi="Calibri" w:cs="Times New Roman"/>
        </w:rPr>
        <w:lastRenderedPageBreak/>
        <w:t xml:space="preserve">PODWYMIAR2: MOBILNOŚĆ STUDENTÓW </w:t>
      </w:r>
      <w:r w:rsidRPr="00676CFC">
        <w:rPr>
          <w:rFonts w:ascii="Calibri" w:eastAsia="Calibri" w:hAnsi="Calibri" w:cs="Times New Roman"/>
        </w:rPr>
        <w:tab/>
      </w:r>
    </w:p>
    <w:p w:rsidR="006F2C2B" w:rsidRDefault="006F2C2B" w:rsidP="006F2C2B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676CFC">
        <w:rPr>
          <w:rFonts w:ascii="Calibri" w:eastAsia="Calibri" w:hAnsi="Calibri" w:cs="Times New Roman"/>
        </w:rPr>
        <w:t>wizyty studyjne</w:t>
      </w:r>
    </w:p>
    <w:tbl>
      <w:tblPr>
        <w:tblStyle w:val="Tabelasiatki4akcent22"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6F2C2B" w:rsidRPr="00676CFC" w:rsidTr="00F1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</w:tcPr>
          <w:p w:rsidR="006F2C2B" w:rsidRPr="00676CFC" w:rsidRDefault="006F2C2B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przeprowadzonych wizyt studyjnych (studenci)</w:t>
            </w:r>
          </w:p>
        </w:tc>
      </w:tr>
      <w:tr w:rsidR="006F2C2B" w:rsidRPr="00676CFC" w:rsidTr="00F1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</w:tcPr>
          <w:p w:rsidR="006F2C2B" w:rsidRPr="00676CFC" w:rsidRDefault="006F2C2B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Odsetek pracowników uczelni biorących udział w wizytach studyjnych w ciągu ostatniego roku</w:t>
            </w:r>
          </w:p>
        </w:tc>
      </w:tr>
    </w:tbl>
    <w:p w:rsidR="006F2C2B" w:rsidRDefault="006F2C2B" w:rsidP="006F2C2B">
      <w:pPr>
        <w:pStyle w:val="Akapitzlist"/>
        <w:numPr>
          <w:ilvl w:val="0"/>
          <w:numId w:val="8"/>
        </w:numPr>
        <w:spacing w:after="160" w:line="259" w:lineRule="auto"/>
        <w:rPr>
          <w:rFonts w:ascii="Calibri" w:eastAsia="Calibri" w:hAnsi="Calibri" w:cs="Times New Roman"/>
        </w:rPr>
      </w:pPr>
      <w:r w:rsidRPr="006F2C2B">
        <w:rPr>
          <w:rFonts w:ascii="Calibri" w:eastAsia="Calibri" w:hAnsi="Calibri" w:cs="Times New Roman"/>
        </w:rPr>
        <w:t>praktyki i staże studenckie</w:t>
      </w:r>
    </w:p>
    <w:tbl>
      <w:tblPr>
        <w:tblStyle w:val="Tabelasiatki4akcent22"/>
        <w:tblW w:w="9650" w:type="dxa"/>
        <w:tblLook w:val="04A0" w:firstRow="1" w:lastRow="0" w:firstColumn="1" w:lastColumn="0" w:noHBand="0" w:noVBand="1"/>
      </w:tblPr>
      <w:tblGrid>
        <w:gridCol w:w="9650"/>
      </w:tblGrid>
      <w:tr w:rsidR="006F2C2B" w:rsidRPr="00676CFC" w:rsidTr="00F1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</w:tcPr>
          <w:p w:rsidR="006F2C2B" w:rsidRPr="00676CFC" w:rsidRDefault="006F2C2B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studentów biorących udział w praktykach/stażach</w:t>
            </w:r>
          </w:p>
        </w:tc>
      </w:tr>
      <w:tr w:rsidR="006F2C2B" w:rsidRPr="00676CFC" w:rsidTr="00F1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</w:tcPr>
          <w:p w:rsidR="006F2C2B" w:rsidRPr="00676CFC" w:rsidRDefault="006F2C2B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Odsetek studentów biorących udział w praktykach/stażach</w:t>
            </w:r>
          </w:p>
        </w:tc>
      </w:tr>
      <w:tr w:rsidR="006F2C2B" w:rsidRPr="00676CFC" w:rsidTr="00F1719F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</w:tcPr>
          <w:p w:rsidR="006F2C2B" w:rsidRPr="00676CFC" w:rsidRDefault="006F2C2B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miejsc na stażach w przedsiębiorstwach oferowanych przez uniwersytet (staże studenckie)</w:t>
            </w:r>
          </w:p>
        </w:tc>
      </w:tr>
      <w:tr w:rsidR="006F2C2B" w:rsidRPr="00676CFC" w:rsidTr="00F1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</w:tcPr>
          <w:p w:rsidR="006F2C2B" w:rsidRPr="00676CFC" w:rsidRDefault="006F2C2B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676CFC">
              <w:rPr>
                <w:rFonts w:ascii="Calibri" w:eastAsia="Calibri" w:hAnsi="Calibri" w:cs="Calibri"/>
                <w:i/>
                <w:iCs/>
                <w:color w:val="000000"/>
              </w:rPr>
              <w:t>Liczba stypendiów stażowych dla studentów finansowanych przez biznes</w:t>
            </w:r>
          </w:p>
        </w:tc>
      </w:tr>
    </w:tbl>
    <w:p w:rsidR="006F2C2B" w:rsidRDefault="006F2C2B" w:rsidP="006F2C2B">
      <w:pPr>
        <w:spacing w:after="160" w:line="259" w:lineRule="auto"/>
        <w:ind w:left="360"/>
        <w:rPr>
          <w:rFonts w:ascii="Calibri" w:eastAsia="Calibri" w:hAnsi="Calibri" w:cs="Times New Roman"/>
        </w:rPr>
      </w:pPr>
    </w:p>
    <w:p w:rsidR="006F2C2B" w:rsidRPr="00210254" w:rsidRDefault="006F2C2B" w:rsidP="006F2C2B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210254">
        <w:rPr>
          <w:rFonts w:ascii="Calibri" w:eastAsia="Calibri" w:hAnsi="Calibri" w:cs="Times New Roman"/>
          <w:b/>
          <w:sz w:val="24"/>
          <w:szCs w:val="24"/>
        </w:rPr>
        <w:t>WYMIAR 3: ROZWÓJ OFERTY KSZTAŁCENIA ORAZ DOSTARCZANIE USŁUG EDUKACYJNYCH (W TYM LLL</w:t>
      </w:r>
      <w:r w:rsidRPr="00210254">
        <w:rPr>
          <w:rFonts w:ascii="Calibri" w:eastAsia="Calibri" w:hAnsi="Calibri" w:cs="Times New Roman"/>
          <w:sz w:val="24"/>
          <w:szCs w:val="24"/>
        </w:rPr>
        <w:t>)</w:t>
      </w:r>
    </w:p>
    <w:p w:rsidR="006F2C2B" w:rsidRPr="00A34BDE" w:rsidRDefault="006F2C2B" w:rsidP="006F2C2B">
      <w:pPr>
        <w:numPr>
          <w:ilvl w:val="0"/>
          <w:numId w:val="10"/>
        </w:numPr>
        <w:spacing w:after="0" w:line="240" w:lineRule="auto"/>
        <w:ind w:right="113"/>
        <w:contextualSpacing/>
        <w:rPr>
          <w:rFonts w:ascii="Calibri" w:eastAsia="Calibri" w:hAnsi="Calibri" w:cs="Times New Roman"/>
        </w:rPr>
      </w:pPr>
      <w:r w:rsidRPr="00A34BDE">
        <w:rPr>
          <w:rFonts w:ascii="Calibri" w:eastAsia="Calibri" w:hAnsi="Calibri" w:cs="Times New Roman"/>
        </w:rPr>
        <w:t>włączenie pracodawców w proces przygotowania/modyfikacji programów kształcenia oraz decyzji odnośnie otwarcia nowych kierunków</w:t>
      </w:r>
    </w:p>
    <w:p w:rsidR="006F2C2B" w:rsidRPr="006F2C2B" w:rsidRDefault="006F2C2B" w:rsidP="006F2C2B">
      <w:pPr>
        <w:spacing w:after="160" w:line="259" w:lineRule="auto"/>
        <w:ind w:left="360"/>
        <w:rPr>
          <w:rFonts w:ascii="Calibri" w:eastAsia="Calibri" w:hAnsi="Calibri" w:cs="Times New Roman"/>
        </w:rPr>
      </w:pPr>
    </w:p>
    <w:tbl>
      <w:tblPr>
        <w:tblStyle w:val="Tabelasiatki4akcent23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F1719F" w:rsidRPr="00A34BDE" w:rsidTr="004D2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realizowanych kursów wspólnie opracowanych przez przedstawiciela uczelni i biznesu</w:t>
            </w:r>
          </w:p>
        </w:tc>
      </w:tr>
      <w:tr w:rsidR="00F1719F" w:rsidRPr="00A34BDE" w:rsidTr="004D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przedsiębiorstw, których reprezentanci byli zaangażowani w przygotowanie/modyfikację programów kształcenia</w:t>
            </w:r>
          </w:p>
        </w:tc>
      </w:tr>
      <w:tr w:rsidR="00F1719F" w:rsidRPr="00A34BDE" w:rsidTr="004D229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przedstawicieli biznesu zaangażowanych w prowadzenie zajęć na uczelni</w:t>
            </w:r>
          </w:p>
        </w:tc>
      </w:tr>
    </w:tbl>
    <w:p w:rsid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gościnne wykłady</w:t>
      </w:r>
    </w:p>
    <w:tbl>
      <w:tblPr>
        <w:tblStyle w:val="Tabelasiatki4akcent23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1719F" w:rsidRPr="00A34BDE" w:rsidTr="00F17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A34BDE">
              <w:rPr>
                <w:rFonts w:ascii="Calibri" w:eastAsia="Calibri" w:hAnsi="Calibri" w:cs="Times New Roman"/>
                <w:i/>
              </w:rPr>
              <w:t>Liczba gościnnych wykładów</w:t>
            </w:r>
          </w:p>
        </w:tc>
      </w:tr>
      <w:tr w:rsidR="00F1719F" w:rsidRPr="00A34BDE" w:rsidTr="00F1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uczestników gościnnych wykładów</w:t>
            </w:r>
          </w:p>
        </w:tc>
      </w:tr>
    </w:tbl>
    <w:p w:rsid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wsparcie finansowe od biznesu ukierunkowane na kształcenie i rozwój infrastruktury dydaktycznej</w:t>
      </w:r>
    </w:p>
    <w:tbl>
      <w:tblPr>
        <w:tblStyle w:val="Tabelasiatki4akcent23"/>
        <w:tblW w:w="9482" w:type="dxa"/>
        <w:tblLook w:val="04A0" w:firstRow="1" w:lastRow="0" w:firstColumn="1" w:lastColumn="0" w:noHBand="0" w:noVBand="1"/>
      </w:tblPr>
      <w:tblGrid>
        <w:gridCol w:w="9482"/>
      </w:tblGrid>
      <w:tr w:rsidR="00F1719F" w:rsidRPr="00A34BDE" w:rsidTr="004D2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studentów otrzymujących stypendia finansowane przez pracodawców</w:t>
            </w:r>
          </w:p>
        </w:tc>
      </w:tr>
      <w:tr w:rsidR="00F1719F" w:rsidRPr="00A34BDE" w:rsidTr="004D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Wysokość wsparcia finansowego (donacje) uzyskanego od biznesu ukierunkowanego bezpośrednio na kształcenie lub rozwój infrastruktury dydaktycznej w stosunku do przychodów ogółem uczelni</w:t>
            </w:r>
          </w:p>
        </w:tc>
      </w:tr>
      <w:tr w:rsidR="00F1719F" w:rsidRPr="00A34BDE" w:rsidTr="00F1719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przedsiębiorstw - donatorów</w:t>
            </w:r>
          </w:p>
        </w:tc>
      </w:tr>
    </w:tbl>
    <w:p w:rsid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szkolenia i inne usługi rozwojowe dedykowane dla konkretnych firm</w:t>
      </w:r>
    </w:p>
    <w:tbl>
      <w:tblPr>
        <w:tblStyle w:val="Tabelasiatki4akcent23"/>
        <w:tblW w:w="9550" w:type="dxa"/>
        <w:tblLook w:val="04A0" w:firstRow="1" w:lastRow="0" w:firstColumn="1" w:lastColumn="0" w:noHBand="0" w:noVBand="1"/>
      </w:tblPr>
      <w:tblGrid>
        <w:gridCol w:w="9550"/>
      </w:tblGrid>
      <w:tr w:rsidR="00F1719F" w:rsidRPr="00A34BDE" w:rsidTr="004D2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Przychód ze sprzedaży usług edukacyjnych przedsiębiorstwom (w przeliczeniu na euro)</w:t>
            </w:r>
          </w:p>
        </w:tc>
      </w:tr>
      <w:tr w:rsidR="00F1719F" w:rsidRPr="00A34BDE" w:rsidTr="00F17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przeprowadzonych kursów/szkoleń dla biznesu</w:t>
            </w:r>
          </w:p>
        </w:tc>
      </w:tr>
      <w:tr w:rsidR="00F1719F" w:rsidRPr="00A34BDE" w:rsidTr="00F1719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osób biorących udział w kursach/ szkoleniach dla biznesu</w:t>
            </w:r>
          </w:p>
        </w:tc>
      </w:tr>
    </w:tbl>
    <w:p w:rsidR="00F1719F" w:rsidRP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kierunki studiów dedykowane dla konkretnych firm</w:t>
      </w:r>
    </w:p>
    <w:tbl>
      <w:tblPr>
        <w:tblStyle w:val="Tabelasiatki4akcent23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1719F" w:rsidRPr="00A34BDE" w:rsidTr="004D2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studentów kształcących się na studiach dedykowanych dla konkretnych firm</w:t>
            </w:r>
          </w:p>
        </w:tc>
      </w:tr>
      <w:tr w:rsidR="00F1719F" w:rsidRPr="00A34BDE" w:rsidTr="004D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3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Przychód ze sprzedaży usług edukacyjnych przedsiębiorstwom (w przeliczeniu na euro)</w:t>
            </w:r>
          </w:p>
        </w:tc>
      </w:tr>
    </w:tbl>
    <w:p w:rsidR="00F1719F" w:rsidRPr="00A34BDE" w:rsidRDefault="00F1719F" w:rsidP="00F1719F">
      <w:pPr>
        <w:spacing w:after="0" w:line="240" w:lineRule="auto"/>
        <w:ind w:right="113"/>
        <w:rPr>
          <w:rFonts w:ascii="Calibri" w:eastAsia="Calibri" w:hAnsi="Calibri" w:cs="Times New Roman"/>
        </w:rPr>
      </w:pPr>
    </w:p>
    <w:p w:rsid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certyfikowanie kompetencji zdobytych poza systemem formalnym</w:t>
      </w:r>
    </w:p>
    <w:tbl>
      <w:tblPr>
        <w:tblStyle w:val="Tabelasiatki4akcent23"/>
        <w:tblW w:w="9550" w:type="dxa"/>
        <w:tblLook w:val="04A0" w:firstRow="1" w:lastRow="0" w:firstColumn="1" w:lastColumn="0" w:noHBand="0" w:noVBand="1"/>
      </w:tblPr>
      <w:tblGrid>
        <w:gridCol w:w="9550"/>
      </w:tblGrid>
      <w:tr w:rsidR="00F1719F" w:rsidRPr="00A34BDE" w:rsidTr="004D2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A34BDE">
              <w:rPr>
                <w:rFonts w:ascii="Calibri" w:eastAsia="Calibri" w:hAnsi="Calibri" w:cs="Times New Roman"/>
                <w:i/>
              </w:rPr>
              <w:t>Liczba kompetencji certyfikowanych przez uczelnie (kompetencje pracowników firm)</w:t>
            </w:r>
          </w:p>
        </w:tc>
      </w:tr>
      <w:tr w:rsidR="00F1719F" w:rsidRPr="00A34BDE" w:rsidTr="004D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0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pracowników, których kompetencje zostały certyfikowane</w:t>
            </w:r>
          </w:p>
        </w:tc>
      </w:tr>
    </w:tbl>
    <w:p w:rsidR="00F1719F" w:rsidRPr="00A34BDE" w:rsidRDefault="00F1719F" w:rsidP="00F1719F">
      <w:pPr>
        <w:spacing w:after="0" w:line="240" w:lineRule="auto"/>
        <w:ind w:right="113"/>
        <w:rPr>
          <w:rFonts w:ascii="Calibri" w:eastAsia="Calibri" w:hAnsi="Calibri" w:cs="Times New Roman"/>
        </w:rPr>
      </w:pPr>
    </w:p>
    <w:p w:rsid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szkolenia i inne usługi rozwojowe dla pracowników naukowych realizowane przez biznes (podział na komercyjne i bezpłatne)</w:t>
      </w:r>
    </w:p>
    <w:tbl>
      <w:tblPr>
        <w:tblStyle w:val="Tabelasiatki4akcent23"/>
        <w:tblW w:w="9566" w:type="dxa"/>
        <w:tblLook w:val="04A0" w:firstRow="1" w:lastRow="0" w:firstColumn="1" w:lastColumn="0" w:noHBand="0" w:noVBand="1"/>
      </w:tblPr>
      <w:tblGrid>
        <w:gridCol w:w="9566"/>
      </w:tblGrid>
      <w:tr w:rsidR="00F1719F" w:rsidRPr="00A34BDE" w:rsidTr="004D22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</w:tcPr>
          <w:p w:rsidR="00F1719F" w:rsidRPr="00A34BDE" w:rsidRDefault="00F1719F" w:rsidP="004D2291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kursów/szkoleń i innych usług rozwojowych realizowanych przez biznes dla pracowników uczelni</w:t>
            </w:r>
          </w:p>
        </w:tc>
      </w:tr>
      <w:tr w:rsidR="00F1719F" w:rsidRPr="00A34BDE" w:rsidTr="004D2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6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pracowników uczelni biorących udział w kursach/szkoleniach i innych usługach rozwojowych realizowanych przez biznes dla pracowników uczelni</w:t>
            </w:r>
          </w:p>
        </w:tc>
      </w:tr>
    </w:tbl>
    <w:p w:rsidR="00F1719F" w:rsidRPr="00F1719F" w:rsidRDefault="00F1719F" w:rsidP="00F1719F">
      <w:pPr>
        <w:pStyle w:val="Akapitzlist"/>
        <w:numPr>
          <w:ilvl w:val="0"/>
          <w:numId w:val="1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F1719F">
        <w:rPr>
          <w:rFonts w:ascii="Calibri" w:eastAsia="Calibri" w:hAnsi="Calibri" w:cs="Times New Roman"/>
        </w:rPr>
        <w:t>programy studiów realizowane wspólnie przez biznes i edukację</w:t>
      </w:r>
    </w:p>
    <w:tbl>
      <w:tblPr>
        <w:tblStyle w:val="Tabelasiatki4akcent23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F1719F" w:rsidRPr="00A34BDE" w:rsidTr="00F83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studentów kształcących się na studiach wspólnie realizowanych przez biznes i uczelnię</w:t>
            </w:r>
          </w:p>
        </w:tc>
      </w:tr>
      <w:tr w:rsidR="00F1719F" w:rsidRPr="00A34BDE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F1719F" w:rsidRPr="00A34BDE" w:rsidRDefault="00F1719F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A34BDE">
              <w:rPr>
                <w:rFonts w:ascii="Calibri" w:eastAsia="Calibri" w:hAnsi="Calibri" w:cs="Calibri"/>
                <w:i/>
                <w:iCs/>
                <w:color w:val="000000"/>
              </w:rPr>
              <w:t>Liczba kandydatów aplikujących na kierunki studiów realizowane wspólnie przez biznes i uczelnię</w:t>
            </w:r>
          </w:p>
        </w:tc>
      </w:tr>
    </w:tbl>
    <w:p w:rsidR="00F1719F" w:rsidRPr="00F1719F" w:rsidRDefault="00F1719F" w:rsidP="00F1719F">
      <w:pPr>
        <w:spacing w:after="0" w:line="240" w:lineRule="auto"/>
        <w:ind w:left="113" w:right="113"/>
        <w:rPr>
          <w:rFonts w:ascii="Calibri" w:eastAsia="Calibri" w:hAnsi="Calibri" w:cs="Times New Roman"/>
        </w:rPr>
      </w:pPr>
    </w:p>
    <w:p w:rsidR="00F838CD" w:rsidRPr="00F838CD" w:rsidRDefault="00F838CD" w:rsidP="00F838CD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F838CD">
        <w:rPr>
          <w:rFonts w:ascii="Calibri" w:eastAsia="Calibri" w:hAnsi="Calibri" w:cs="Times New Roman"/>
          <w:b/>
          <w:sz w:val="24"/>
          <w:szCs w:val="24"/>
        </w:rPr>
        <w:t>WYMIAR 4: DZIAŁALNOŚĆ KOMERCYJNA</w:t>
      </w:r>
    </w:p>
    <w:p w:rsidR="00F838CD" w:rsidRPr="00E04E59" w:rsidRDefault="00F838CD" w:rsidP="00F838CD">
      <w:pPr>
        <w:pStyle w:val="Akapitzlist"/>
        <w:numPr>
          <w:ilvl w:val="0"/>
          <w:numId w:val="18"/>
        </w:numPr>
      </w:pPr>
      <w:r w:rsidRPr="00E04E59">
        <w:t>Konsulting i sprzedaż know-how/ kompetencji</w:t>
      </w:r>
    </w:p>
    <w:tbl>
      <w:tblPr>
        <w:tblStyle w:val="Tabelasiatki4akcent21"/>
        <w:tblW w:w="9565" w:type="dxa"/>
        <w:tblLook w:val="04A0" w:firstRow="1" w:lastRow="0" w:firstColumn="1" w:lastColumn="0" w:noHBand="0" w:noVBand="1"/>
      </w:tblPr>
      <w:tblGrid>
        <w:gridCol w:w="9565"/>
      </w:tblGrid>
      <w:tr w:rsidR="00F838CD" w:rsidRPr="00781B8D" w:rsidTr="00F83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Konsulting i sprzedaż usług/know-how dla biznesu</w:t>
            </w:r>
          </w:p>
          <w:p w:rsidR="00F838CD" w:rsidRPr="00781B8D" w:rsidRDefault="00F838CD" w:rsidP="0034379E">
            <w:pPr>
              <w:ind w:right="113"/>
              <w:rPr>
                <w:rFonts w:ascii="Calibri" w:hAnsi="Calibri" w:cs="Times New Roman"/>
              </w:rPr>
            </w:pPr>
          </w:p>
        </w:tc>
      </w:tr>
      <w:tr w:rsidR="00F838CD" w:rsidRPr="00781B8D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Wartość nowych umów dot. usług konsultingowych i sprzedaży know-how</w:t>
            </w:r>
          </w:p>
          <w:p w:rsidR="00F838CD" w:rsidRPr="00781B8D" w:rsidRDefault="00F838CD" w:rsidP="0034379E">
            <w:pPr>
              <w:ind w:right="113"/>
              <w:rPr>
                <w:rFonts w:ascii="Calibri" w:hAnsi="Calibri" w:cs="Calibri"/>
                <w:iCs/>
                <w:color w:val="000000"/>
                <w:szCs w:val="18"/>
              </w:rPr>
            </w:pPr>
          </w:p>
        </w:tc>
      </w:tr>
      <w:tr w:rsidR="00F838CD" w:rsidRPr="00781B8D" w:rsidTr="00F838CD">
        <w:trPr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Przychód z umów konsultingowych i sprzedaży know-how w ostatnim roku kalendarzowym</w:t>
            </w:r>
          </w:p>
          <w:p w:rsidR="00F838CD" w:rsidRPr="00781B8D" w:rsidRDefault="00F838CD" w:rsidP="0034379E">
            <w:pPr>
              <w:ind w:right="113"/>
              <w:rPr>
                <w:rFonts w:ascii="Calibri" w:hAnsi="Calibri" w:cs="Calibri"/>
                <w:iCs/>
                <w:color w:val="000000"/>
                <w:szCs w:val="18"/>
              </w:rPr>
            </w:pPr>
          </w:p>
        </w:tc>
      </w:tr>
      <w:tr w:rsidR="00F838CD" w:rsidRPr="00781B8D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5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Stopień finasowania badań ze środków działalności komercyjnej w zakresie umów konsultingowych i sprzedaży know-how</w:t>
            </w:r>
          </w:p>
          <w:p w:rsidR="00F838CD" w:rsidRPr="00781B8D" w:rsidRDefault="00F838CD" w:rsidP="0034379E">
            <w:pPr>
              <w:ind w:right="113"/>
              <w:rPr>
                <w:rFonts w:ascii="Calibri" w:hAnsi="Calibri" w:cs="Calibri"/>
                <w:iCs/>
                <w:color w:val="000000"/>
                <w:szCs w:val="18"/>
              </w:rPr>
            </w:pPr>
          </w:p>
        </w:tc>
      </w:tr>
    </w:tbl>
    <w:p w:rsidR="00F838CD" w:rsidRDefault="00F838CD" w:rsidP="00F838CD">
      <w:pPr>
        <w:pStyle w:val="Akapitzlist"/>
        <w:spacing w:after="160" w:line="259" w:lineRule="auto"/>
      </w:pPr>
    </w:p>
    <w:p w:rsidR="00F838CD" w:rsidRDefault="00F838CD" w:rsidP="00F838CD">
      <w:pPr>
        <w:pStyle w:val="Akapitzlist"/>
        <w:numPr>
          <w:ilvl w:val="0"/>
          <w:numId w:val="18"/>
        </w:numPr>
        <w:spacing w:after="160" w:line="259" w:lineRule="auto"/>
      </w:pPr>
      <w:r w:rsidRPr="00781B8D">
        <w:t>Komercjalizacja rezultatów R&amp;D</w:t>
      </w:r>
    </w:p>
    <w:tbl>
      <w:tblPr>
        <w:tblStyle w:val="Tabelasiatki4akcent2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838CD" w:rsidRPr="000E2AD5" w:rsidTr="00F83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Times New Roman"/>
                <w:i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Całkowite przychody generowane z licencji/IP</w:t>
            </w:r>
          </w:p>
        </w:tc>
      </w:tr>
      <w:tr w:rsidR="00F838CD" w:rsidRPr="000E2AD5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bookmarkStart w:id="2" w:name="OLE_LINK61"/>
            <w:bookmarkStart w:id="3" w:name="OLE_LINK62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licencji</w:t>
            </w:r>
            <w:bookmarkEnd w:id="2"/>
            <w:bookmarkEnd w:id="3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w ostatnim roku</w:t>
            </w:r>
          </w:p>
        </w:tc>
      </w:tr>
      <w:tr w:rsidR="00F838CD" w:rsidRPr="000E2AD5" w:rsidTr="00F838C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Nakłady jednostki na zakup licencji/IP</w:t>
            </w:r>
          </w:p>
        </w:tc>
      </w:tr>
      <w:tr w:rsidR="00F838CD" w:rsidRPr="000E2AD5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licencji przypadających na pracownika naukowego</w:t>
            </w:r>
          </w:p>
        </w:tc>
      </w:tr>
      <w:tr w:rsidR="00F838CD" w:rsidRPr="000E2AD5" w:rsidTr="00F838C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</w:t>
            </w:r>
          </w:p>
        </w:tc>
      </w:tr>
      <w:tr w:rsidR="00F838CD" w:rsidRPr="000E2AD5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-out</w:t>
            </w:r>
          </w:p>
        </w:tc>
      </w:tr>
      <w:tr w:rsidR="00F838CD" w:rsidRPr="000E2AD5" w:rsidTr="00F838CD">
        <w:trPr>
          <w:trHeight w:val="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Przychód wygenerowany przez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</w:t>
            </w:r>
          </w:p>
        </w:tc>
      </w:tr>
      <w:tr w:rsidR="00F838CD" w:rsidRPr="000E2AD5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Ods</w:t>
            </w: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>e</w:t>
            </w: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tek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 uzyskujących zysk</w:t>
            </w:r>
          </w:p>
        </w:tc>
      </w:tr>
      <w:tr w:rsidR="00F838CD" w:rsidRPr="000E2AD5" w:rsidTr="00F838CD">
        <w:trPr>
          <w:trHeight w:val="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Współczynnik stabilności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</w:t>
            </w:r>
          </w:p>
        </w:tc>
      </w:tr>
      <w:tr w:rsidR="00F838CD" w:rsidRPr="000E2AD5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-off, które posiadają inwestora zewnętrznego</w:t>
            </w:r>
          </w:p>
        </w:tc>
      </w:tr>
      <w:tr w:rsidR="00F838CD" w:rsidRPr="000E2AD5" w:rsidTr="00876F66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Całkowita wartość inwestycji prywatnych w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</w:t>
            </w:r>
          </w:p>
        </w:tc>
      </w:tr>
      <w:tr w:rsidR="00F838CD" w:rsidRPr="000E2AD5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0E2AD5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Zatrudnienie w </w:t>
            </w:r>
            <w:proofErr w:type="spellStart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spin</w:t>
            </w:r>
            <w:proofErr w:type="spellEnd"/>
            <w:r w:rsidRPr="000E2AD5">
              <w:rPr>
                <w:rFonts w:ascii="Calibri" w:hAnsi="Calibri" w:cs="Calibri"/>
                <w:i/>
                <w:iCs/>
                <w:color w:val="000000"/>
                <w:szCs w:val="18"/>
              </w:rPr>
              <w:t>-off</w:t>
            </w:r>
          </w:p>
        </w:tc>
      </w:tr>
      <w:tr w:rsidR="00F838CD" w:rsidRPr="00781B8D" w:rsidTr="00F838CD">
        <w:trPr>
          <w:trHeight w:val="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876F66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bookmarkStart w:id="4" w:name="OLE_LINK65"/>
            <w:bookmarkStart w:id="5" w:name="OLE_LINK66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zgłoszeń wynalazków w zagranicznych urzędach patentowych (w tym </w:t>
            </w:r>
            <w:proofErr w:type="spellStart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pr</w:t>
            </w: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>i</w:t>
            </w: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ority</w:t>
            </w:r>
            <w:proofErr w:type="spellEnd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– zgł</w:t>
            </w: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>o</w:t>
            </w: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szeń pierwszorazowych, unikatowych)</w:t>
            </w:r>
            <w:bookmarkEnd w:id="4"/>
            <w:bookmarkEnd w:id="5"/>
          </w:p>
        </w:tc>
      </w:tr>
      <w:tr w:rsidR="00F838CD" w:rsidRPr="00E40424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E40424" w:rsidRDefault="00F838CD" w:rsidP="0034379E">
            <w:pPr>
              <w:ind w:right="113"/>
              <w:rPr>
                <w:rFonts w:ascii="Calibri" w:hAnsi="Calibri" w:cs="Calibri"/>
                <w:b w:val="0"/>
                <w:bCs w:val="0"/>
                <w:i/>
                <w:iCs/>
                <w:color w:val="000000"/>
                <w:szCs w:val="18"/>
              </w:rPr>
            </w:pPr>
            <w:bookmarkStart w:id="6" w:name="OLE_LINK67"/>
            <w:bookmarkStart w:id="7" w:name="OLE_LINK68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Liczba zgłoszeń dokonanych w </w:t>
            </w:r>
            <w:proofErr w:type="spellStart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Urzędzie</w:t>
            </w:r>
            <w:proofErr w:type="spellEnd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Patentowym Rzeczypospolitej Polskiej</w:t>
            </w:r>
            <w:bookmarkStart w:id="8" w:name="OLE_LINK69"/>
            <w:bookmarkStart w:id="9" w:name="OLE_LINK70"/>
            <w:bookmarkEnd w:id="6"/>
            <w:bookmarkEnd w:id="7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(w tym </w:t>
            </w:r>
            <w:proofErr w:type="spellStart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pr</w:t>
            </w: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>i</w:t>
            </w: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ority</w:t>
            </w:r>
            <w:proofErr w:type="spellEnd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 xml:space="preserve"> – zgł</w:t>
            </w:r>
            <w:r>
              <w:rPr>
                <w:rFonts w:ascii="Calibri" w:hAnsi="Calibri" w:cs="Calibri"/>
                <w:i/>
                <w:iCs/>
                <w:color w:val="000000"/>
                <w:szCs w:val="18"/>
              </w:rPr>
              <w:t>o</w:t>
            </w: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szeń pierwszorazowych, unikatowych</w:t>
            </w:r>
            <w:bookmarkEnd w:id="8"/>
            <w:bookmarkEnd w:id="9"/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)</w:t>
            </w:r>
          </w:p>
        </w:tc>
      </w:tr>
      <w:tr w:rsidR="00F838CD" w:rsidRPr="00E40424" w:rsidTr="00F838CD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E40424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aktywnych patentów w portfolio jednostki (w tym z udziałem przedsiębiorców)</w:t>
            </w:r>
          </w:p>
        </w:tc>
      </w:tr>
      <w:tr w:rsidR="00F838CD" w:rsidRPr="00E40424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E40424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uzyskanych patentów</w:t>
            </w:r>
          </w:p>
        </w:tc>
      </w:tr>
      <w:tr w:rsidR="00F838CD" w:rsidRPr="00E40424" w:rsidTr="00F838CD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E40424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wynalazków opracowanych we współpracy uczelni z biznesem</w:t>
            </w:r>
          </w:p>
        </w:tc>
      </w:tr>
      <w:tr w:rsidR="00F838CD" w:rsidRPr="00E40424" w:rsidTr="00F8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E40424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Liczba patentów przynoszących przychody</w:t>
            </w:r>
          </w:p>
        </w:tc>
      </w:tr>
      <w:tr w:rsidR="00F838CD" w:rsidRPr="00E40424" w:rsidTr="00F838CD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F838CD" w:rsidRPr="00E40424" w:rsidRDefault="00F838CD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lastRenderedPageBreak/>
              <w:t>Liczba patentów przypadających na pracownika naukowego</w:t>
            </w:r>
          </w:p>
        </w:tc>
      </w:tr>
    </w:tbl>
    <w:p w:rsidR="0034379E" w:rsidRPr="00781B8D" w:rsidRDefault="0034379E" w:rsidP="00127F47">
      <w:pPr>
        <w:pStyle w:val="Akapitzlist"/>
        <w:numPr>
          <w:ilvl w:val="0"/>
          <w:numId w:val="18"/>
        </w:numPr>
        <w:spacing w:after="160" w:line="259" w:lineRule="auto"/>
      </w:pPr>
      <w:r w:rsidRPr="00781B8D">
        <w:t>Korzystanie z infrastruktury</w:t>
      </w:r>
    </w:p>
    <w:tbl>
      <w:tblPr>
        <w:tblStyle w:val="Tabelasiatki4akcent21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34379E" w:rsidRPr="00E40424" w:rsidTr="00127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34379E" w:rsidRPr="00E40424" w:rsidRDefault="0034379E" w:rsidP="0034379E">
            <w:pPr>
              <w:ind w:right="113"/>
              <w:rPr>
                <w:rFonts w:ascii="Calibri" w:hAnsi="Calibri" w:cs="Times New Roman"/>
                <w:i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Przychody z wynajmu infrastruktury i/lub wyposażenia</w:t>
            </w:r>
          </w:p>
        </w:tc>
      </w:tr>
      <w:tr w:rsidR="0034379E" w:rsidRPr="00E40424" w:rsidTr="00127F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34379E" w:rsidRPr="00E40424" w:rsidRDefault="0034379E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Udostępnianie komercyjne inf</w:t>
            </w:r>
            <w:r w:rsidR="00127F47">
              <w:rPr>
                <w:rFonts w:ascii="Calibri" w:hAnsi="Calibri" w:cs="Calibri"/>
                <w:i/>
                <w:iCs/>
                <w:color w:val="000000"/>
                <w:szCs w:val="18"/>
              </w:rPr>
              <w:t>rastruktury badawczej jednostki</w:t>
            </w:r>
          </w:p>
        </w:tc>
      </w:tr>
      <w:tr w:rsidR="0034379E" w:rsidRPr="00E40424" w:rsidTr="00127F4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34379E" w:rsidRPr="00127F47" w:rsidRDefault="0034379E" w:rsidP="0034379E">
            <w:pPr>
              <w:ind w:right="113"/>
              <w:rPr>
                <w:rFonts w:ascii="Calibri" w:hAnsi="Calibri" w:cs="Calibri"/>
                <w:i/>
                <w:iCs/>
                <w:color w:val="000000"/>
                <w:szCs w:val="18"/>
              </w:rPr>
            </w:pPr>
            <w:r w:rsidRPr="00E40424">
              <w:rPr>
                <w:rFonts w:ascii="Calibri" w:hAnsi="Calibri" w:cs="Calibri"/>
                <w:i/>
                <w:iCs/>
                <w:color w:val="000000"/>
                <w:szCs w:val="18"/>
              </w:rPr>
              <w:t>Współwł</w:t>
            </w:r>
            <w:r w:rsidR="00127F47">
              <w:rPr>
                <w:rFonts w:ascii="Calibri" w:hAnsi="Calibri" w:cs="Calibri"/>
                <w:i/>
                <w:iCs/>
                <w:color w:val="000000"/>
                <w:szCs w:val="18"/>
              </w:rPr>
              <w:t>asność infrastruktury jednostki</w:t>
            </w:r>
          </w:p>
        </w:tc>
      </w:tr>
    </w:tbl>
    <w:p w:rsidR="0034379E" w:rsidRDefault="0034379E" w:rsidP="0034379E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34379E" w:rsidRPr="00127F47" w:rsidRDefault="0034379E" w:rsidP="0034379E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127F47">
        <w:rPr>
          <w:rFonts w:ascii="Calibri" w:eastAsia="Calibri" w:hAnsi="Calibri" w:cs="Times New Roman"/>
          <w:b/>
          <w:sz w:val="24"/>
          <w:szCs w:val="24"/>
        </w:rPr>
        <w:t>WYMIAR 5: ZAANGAŻOWANIE SPOŁECZNE</w:t>
      </w:r>
    </w:p>
    <w:p w:rsidR="00F1719F" w:rsidRPr="00F1719F" w:rsidRDefault="00F1719F" w:rsidP="00F1719F">
      <w:pPr>
        <w:spacing w:after="0" w:line="240" w:lineRule="auto"/>
        <w:ind w:left="113" w:right="113"/>
        <w:rPr>
          <w:rFonts w:ascii="Calibri" w:eastAsia="Calibri" w:hAnsi="Calibri" w:cs="Times New Roman"/>
        </w:rPr>
      </w:pPr>
    </w:p>
    <w:tbl>
      <w:tblPr>
        <w:tblStyle w:val="Tabelasiatki4akcent24"/>
        <w:tblW w:w="9701" w:type="dxa"/>
        <w:tblLook w:val="04A0" w:firstRow="1" w:lastRow="0" w:firstColumn="1" w:lastColumn="0" w:noHBand="0" w:noVBand="1"/>
      </w:tblPr>
      <w:tblGrid>
        <w:gridCol w:w="9701"/>
      </w:tblGrid>
      <w:tr w:rsidR="0034379E" w:rsidRPr="00B00232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</w:tcPr>
          <w:p w:rsidR="0034379E" w:rsidRPr="00B00232" w:rsidRDefault="0034379E" w:rsidP="0034379E">
            <w:pPr>
              <w:ind w:right="113"/>
              <w:rPr>
                <w:rFonts w:ascii="Calibri" w:eastAsia="Calibri" w:hAnsi="Calibri" w:cs="Times New Roman"/>
              </w:rPr>
            </w:pPr>
            <w:r w:rsidRPr="00B00232">
              <w:rPr>
                <w:rFonts w:ascii="Calibri" w:eastAsia="Calibri" w:hAnsi="Calibri" w:cs="Calibri"/>
                <w:i/>
                <w:iCs/>
                <w:color w:val="000000"/>
              </w:rPr>
              <w:t>Liczba działań we współpracy uczelni z biznesem (obszar – zaangażowanie społeczne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)</w:t>
            </w:r>
          </w:p>
        </w:tc>
      </w:tr>
      <w:tr w:rsidR="0034379E" w:rsidRPr="00B00232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</w:tcPr>
          <w:p w:rsidR="0034379E" w:rsidRPr="00B00232" w:rsidRDefault="0034379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B00232">
              <w:rPr>
                <w:rFonts w:ascii="Calibri" w:eastAsia="Calibri" w:hAnsi="Calibri" w:cs="Calibri"/>
                <w:i/>
                <w:color w:val="000000"/>
              </w:rPr>
              <w:t xml:space="preserve">Wydatki na działania </w:t>
            </w:r>
            <w:r w:rsidRPr="00B00232">
              <w:rPr>
                <w:rFonts w:ascii="Calibri" w:eastAsia="Calibri" w:hAnsi="Calibri" w:cs="Calibri"/>
                <w:i/>
                <w:iCs/>
                <w:color w:val="000000"/>
              </w:rPr>
              <w:t>we współpracy uczelni z biznesem (obszar – zaangażowanie społeczne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)</w:t>
            </w:r>
          </w:p>
        </w:tc>
      </w:tr>
      <w:tr w:rsidR="0034379E" w:rsidRPr="00B00232" w:rsidTr="00F9410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1" w:type="dxa"/>
          </w:tcPr>
          <w:p w:rsidR="0034379E" w:rsidRPr="00B00232" w:rsidRDefault="0034379E" w:rsidP="0034379E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B00232">
              <w:rPr>
                <w:rFonts w:ascii="Calibri" w:eastAsia="Calibri" w:hAnsi="Calibri" w:cs="Calibri"/>
                <w:i/>
                <w:iCs/>
                <w:color w:val="000000"/>
              </w:rPr>
              <w:t>Liczba niepowtarzalnych przedsiębiorców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,</w:t>
            </w:r>
            <w:r w:rsidRPr="00B00232">
              <w:rPr>
                <w:rFonts w:ascii="Calibri" w:eastAsia="Calibri" w:hAnsi="Calibri" w:cs="Calibri"/>
                <w:i/>
                <w:iCs/>
                <w:color w:val="000000"/>
              </w:rPr>
              <w:t xml:space="preserve"> z którymi uczelnia realizowała wspólne działania (obszar – zaangażowanie społeczne)</w:t>
            </w:r>
          </w:p>
        </w:tc>
      </w:tr>
    </w:tbl>
    <w:p w:rsidR="00053E55" w:rsidRDefault="00053E55" w:rsidP="00053E55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053E55" w:rsidRPr="00265CE7" w:rsidRDefault="00053E55" w:rsidP="00053E55">
      <w:pPr>
        <w:spacing w:after="160" w:line="259" w:lineRule="auto"/>
        <w:rPr>
          <w:rFonts w:ascii="Calibri" w:eastAsia="Calibri" w:hAnsi="Calibri" w:cs="Times New Roman"/>
        </w:rPr>
      </w:pPr>
      <w:r w:rsidRPr="00265CE7">
        <w:rPr>
          <w:rFonts w:ascii="Calibri" w:eastAsia="Calibri" w:hAnsi="Calibri" w:cs="Times New Roman"/>
          <w:b/>
        </w:rPr>
        <w:t>WYMIAR</w:t>
      </w:r>
      <w:r w:rsidRPr="00676CFC">
        <w:rPr>
          <w:rFonts w:ascii="Calibri" w:eastAsia="Calibri" w:hAnsi="Calibri" w:cs="Times New Roman"/>
          <w:b/>
        </w:rPr>
        <w:t xml:space="preserve"> 6</w:t>
      </w:r>
      <w:r w:rsidRPr="00265CE7">
        <w:rPr>
          <w:rFonts w:ascii="Calibri" w:eastAsia="Calibri" w:hAnsi="Calibri" w:cs="Times New Roman"/>
          <w:b/>
        </w:rPr>
        <w:t>: Kontekst współpracy N-B (KW)</w:t>
      </w:r>
    </w:p>
    <w:p w:rsidR="00053E55" w:rsidRPr="00265CE7" w:rsidRDefault="00053E55" w:rsidP="00053E55">
      <w:pPr>
        <w:spacing w:after="160" w:line="259" w:lineRule="auto"/>
        <w:rPr>
          <w:rFonts w:ascii="Calibri" w:eastAsia="Calibri" w:hAnsi="Calibri" w:cs="Times New Roman"/>
        </w:rPr>
      </w:pPr>
      <w:r w:rsidRPr="00265CE7">
        <w:rPr>
          <w:rFonts w:ascii="Calibri" w:eastAsia="Calibri" w:hAnsi="Calibri" w:cs="Times New Roman"/>
        </w:rPr>
        <w:t>PODWYMIAR1: Otoczenie prawno-instytucjonalne i gospodarcze (KWO)</w:t>
      </w:r>
    </w:p>
    <w:p w:rsidR="00053E55" w:rsidRPr="00265CE7" w:rsidRDefault="00053E55" w:rsidP="00053E55">
      <w:pPr>
        <w:numPr>
          <w:ilvl w:val="0"/>
          <w:numId w:val="20"/>
        </w:numPr>
        <w:spacing w:after="0" w:line="240" w:lineRule="auto"/>
        <w:ind w:right="113"/>
        <w:contextualSpacing/>
        <w:rPr>
          <w:rFonts w:ascii="Calibri" w:eastAsia="Calibri" w:hAnsi="Calibri" w:cs="Times New Roman"/>
        </w:rPr>
      </w:pPr>
      <w:r w:rsidRPr="00265CE7">
        <w:rPr>
          <w:rFonts w:ascii="Calibri" w:eastAsia="Calibri" w:hAnsi="Calibri" w:cs="Times New Roman"/>
        </w:rPr>
        <w:t>Ochrona praw własności intelektualnej (KWOIP)</w:t>
      </w:r>
    </w:p>
    <w:tbl>
      <w:tblPr>
        <w:tblStyle w:val="Tabelasiatki4akcent21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053E55" w:rsidRPr="00E40424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053E55" w:rsidRPr="00E40424" w:rsidRDefault="00053E55" w:rsidP="00053E55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Ochrona własności intelektualnej (wyniki badania ankietowego na podstawie The Global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Competitiveness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Index)</w:t>
            </w:r>
          </w:p>
        </w:tc>
      </w:tr>
      <w:tr w:rsidR="00053E55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053E55" w:rsidRPr="00E40424" w:rsidRDefault="00053E55" w:rsidP="00053E55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Ochrona patentów (wyniki badania ankietowego na podstawie The Global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Competitiveness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Index)</w:t>
            </w:r>
          </w:p>
        </w:tc>
      </w:tr>
      <w:tr w:rsidR="00053E55" w:rsidRPr="00E40424" w:rsidTr="00F94100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5" w:type="dxa"/>
          </w:tcPr>
          <w:p w:rsidR="00053E55" w:rsidRPr="00E40424" w:rsidRDefault="00053E55" w:rsidP="00053E55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Piractwo komputerowe / Ochrona praw autorskich (wyniki badania ankietowego na podstawie The Global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Competitiveness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Index)</w:t>
            </w:r>
          </w:p>
        </w:tc>
      </w:tr>
    </w:tbl>
    <w:p w:rsidR="00F1719F" w:rsidRPr="00F1719F" w:rsidRDefault="00F1719F" w:rsidP="00F1719F">
      <w:pPr>
        <w:spacing w:after="0" w:line="240" w:lineRule="auto"/>
        <w:ind w:left="113" w:right="113"/>
        <w:rPr>
          <w:rFonts w:ascii="Calibri" w:eastAsia="Calibri" w:hAnsi="Calibri" w:cs="Times New Roman"/>
        </w:rPr>
      </w:pPr>
    </w:p>
    <w:p w:rsidR="006F2C2B" w:rsidRDefault="00127F47" w:rsidP="00127F47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127F47">
        <w:rPr>
          <w:rFonts w:ascii="Calibri" w:eastAsia="Calibri" w:hAnsi="Calibri" w:cs="Times New Roman"/>
        </w:rPr>
        <w:t>Uwarunkowania dla prowadzenia innowacyjnej działalności gospodarczej (KWOIDG)</w:t>
      </w:r>
    </w:p>
    <w:tbl>
      <w:tblPr>
        <w:tblStyle w:val="Tabelasiatki4akcent2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27F47" w:rsidRPr="00E40424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„Zakładanie biznesu”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obejmujący: jakość procedur, koszt procedur, minimalna wartość kapitału zakładowego spółki z ograniczoną odpowiedzialnością) 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„Dostęp do kredytu”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 regulacje dotyczące zabezpieczeń kredytowych oraz systemy zarządzania informacją kredytową)</w:t>
            </w:r>
          </w:p>
        </w:tc>
      </w:tr>
      <w:tr w:rsidR="00127F47" w:rsidRPr="00E40424" w:rsidTr="00F9410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„Ochrona udziałowców mniejszościowych”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 uprawnienia udziałowców mniejszościowych w transakcjach oraz z systemie zarządzania korporacyjnego)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„Płacenie podatków”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obejmujący: wymagane płatności, czas i całkowity koszt ponoszony, aby firma mogła w całości sprostać wymaganiom podatkowym) </w:t>
            </w:r>
          </w:p>
        </w:tc>
      </w:tr>
      <w:tr w:rsidR="00127F47" w:rsidRPr="00E40424" w:rsidTr="00F94100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„Handel zagraniczny”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obejmujący: czas i koszt wymagany do wyeksportowania produktu oraz do importu części samochodowych)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„Egzekwowanie umów”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obejmujący: czas i koszt wymagany aby rozwiązać konflikt komercyjny oraz jakość prowadzenia procesów sądowych)</w:t>
            </w:r>
          </w:p>
        </w:tc>
      </w:tr>
      <w:tr w:rsidR="00127F47" w:rsidRPr="00E40424" w:rsidTr="00F94100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Wskaźnik „Ogłaszanie upadłości” (mierzony w ramach projektu badawczego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Doing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Business i obejmujący: czas, koszt i wynik procesu ogłaszania upadłości; zwraca się także uwagę na procent odzyskanych środków finansowych dla wierzycieli oraz na ramy prawne dla procesów upadłościowych)</w:t>
            </w:r>
          </w:p>
        </w:tc>
      </w:tr>
    </w:tbl>
    <w:p w:rsidR="00127F47" w:rsidRDefault="00127F47" w:rsidP="00127F47">
      <w:pPr>
        <w:pStyle w:val="Akapitzlist"/>
        <w:numPr>
          <w:ilvl w:val="0"/>
          <w:numId w:val="2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127F47">
        <w:rPr>
          <w:rFonts w:ascii="Calibri" w:eastAsia="Calibri" w:hAnsi="Calibri" w:cs="Times New Roman"/>
        </w:rPr>
        <w:lastRenderedPageBreak/>
        <w:t>Poziom zaawansowania innowacyjnego gospodarki (KWOIG)</w:t>
      </w:r>
    </w:p>
    <w:tbl>
      <w:tblPr>
        <w:tblStyle w:val="Tabelasiatki4akcent2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7F47" w:rsidRPr="00E40424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Liczba pracowników B+R (liczba pracowników tego typu na jeden milion populacji)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Wydatki B+R trzech topowych firm globalnych (średnia arytmetyczna dla wydatków w danej gospodarce wyrażona w mln USD)</w:t>
            </w:r>
          </w:p>
        </w:tc>
      </w:tr>
      <w:tr w:rsidR="00127F47" w:rsidRPr="00E40424" w:rsidTr="00F9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Umowy typu venture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capital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(wartość finansowa umów w odniesieniu do PKB, skorygowana o parytet siły nabywczej)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Liczba pracowników pracujących w „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wiedzowych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” sektorach gospodarki (mierzona jako procent całości populacji pracowników w danej gospodarce)</w:t>
            </w:r>
          </w:p>
        </w:tc>
      </w:tr>
    </w:tbl>
    <w:p w:rsidR="00127F47" w:rsidRDefault="00127F47" w:rsidP="00127F47">
      <w:pPr>
        <w:pStyle w:val="Akapitzlist"/>
        <w:numPr>
          <w:ilvl w:val="0"/>
          <w:numId w:val="20"/>
        </w:numPr>
        <w:spacing w:after="0" w:line="240" w:lineRule="auto"/>
        <w:ind w:right="113"/>
        <w:rPr>
          <w:rFonts w:ascii="Calibri" w:eastAsia="Calibri" w:hAnsi="Calibri" w:cs="Times New Roman"/>
        </w:rPr>
      </w:pPr>
      <w:r w:rsidRPr="00127F47">
        <w:rPr>
          <w:rFonts w:ascii="Calibri" w:eastAsia="Calibri" w:hAnsi="Calibri" w:cs="Times New Roman"/>
        </w:rPr>
        <w:t>Relacje uczelnie – otoczenie gospodarcze (KWOR)</w:t>
      </w:r>
    </w:p>
    <w:tbl>
      <w:tblPr>
        <w:tblStyle w:val="Tabelasiatki4akcent2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7F47" w:rsidRPr="00E40424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Jakość współpracy między biznesem a uczelniami wyższymi (odpowiedź na pytanie ankietowe sformułowane „Do jakiego stopnia – w Twoim kraju – następuje współpraca i dzielnie się pomysłami między światem nauki a światem biznesu”? [1 – w ogóle; 7 – bardzo])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Stan rozwoju klastrów (Odpowiedź na pytanie ankietowe „jak popularne i rozwinięte są klastry w Twoim kraju?” [1 – w ogóle; 7 – bardzo])</w:t>
            </w:r>
          </w:p>
        </w:tc>
      </w:tr>
    </w:tbl>
    <w:p w:rsidR="00127F47" w:rsidRPr="00127F47" w:rsidRDefault="00127F47" w:rsidP="00127F47">
      <w:pPr>
        <w:spacing w:after="0" w:line="240" w:lineRule="auto"/>
        <w:ind w:left="113" w:right="113"/>
        <w:rPr>
          <w:rFonts w:ascii="Calibri" w:eastAsia="Calibri" w:hAnsi="Calibri" w:cs="Times New Roman"/>
        </w:rPr>
      </w:pPr>
    </w:p>
    <w:p w:rsidR="00127F47" w:rsidRPr="00127F47" w:rsidRDefault="00127F47" w:rsidP="00127F47">
      <w:pPr>
        <w:pStyle w:val="Akapitzlist"/>
        <w:spacing w:after="0" w:line="240" w:lineRule="auto"/>
        <w:ind w:left="473" w:right="113"/>
        <w:rPr>
          <w:rFonts w:ascii="Calibri" w:eastAsia="Calibri" w:hAnsi="Calibri" w:cs="Times New Roman"/>
        </w:rPr>
      </w:pPr>
    </w:p>
    <w:p w:rsidR="00127F47" w:rsidRPr="00265CE7" w:rsidRDefault="00127F47" w:rsidP="00127F47">
      <w:pPr>
        <w:tabs>
          <w:tab w:val="center" w:pos="4536"/>
        </w:tabs>
        <w:spacing w:after="160" w:line="259" w:lineRule="auto"/>
        <w:rPr>
          <w:rFonts w:ascii="Calibri" w:eastAsia="Calibri" w:hAnsi="Calibri" w:cs="Times New Roman"/>
        </w:rPr>
      </w:pPr>
      <w:r w:rsidRPr="00265CE7">
        <w:rPr>
          <w:rFonts w:ascii="Calibri" w:eastAsia="Calibri" w:hAnsi="Calibri" w:cs="Times New Roman"/>
        </w:rPr>
        <w:t>PODWYMIAR2: Regulacje, strategie i praktyki wewnątrzuczelniane (KWU)</w:t>
      </w:r>
    </w:p>
    <w:p w:rsidR="00127F47" w:rsidRPr="00127F47" w:rsidRDefault="00127F47" w:rsidP="00127F47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127F47">
        <w:rPr>
          <w:rFonts w:ascii="Calibri" w:eastAsia="Calibri" w:hAnsi="Calibri" w:cs="Times New Roman"/>
        </w:rPr>
        <w:t>Polityka i strategia uczelni (KWUS)</w:t>
      </w:r>
    </w:p>
    <w:tbl>
      <w:tblPr>
        <w:tblStyle w:val="Tabelasiatki4akcent2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7F47" w:rsidRPr="00E40424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Times New Roman"/>
                <w:i/>
              </w:rPr>
              <w:t>Instytucjonalne nagrody i zachęty do komercjalizacji wiedzy (procentowy udział dochodu jednostki transferu technologii w odniesieniu do różnych uczestników procesu transferu wiedzy: inwestorzy/pojedynczy aktorzy; jednostka danej instytucji; zespół badawczy; inne)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  <w:sz w:val="18"/>
              </w:rPr>
            </w:pPr>
            <w:r w:rsidRPr="00E40424">
              <w:rPr>
                <w:rFonts w:ascii="Calibri" w:eastAsia="Calibri" w:hAnsi="Calibri" w:cs="Times New Roman"/>
                <w:i/>
              </w:rPr>
              <w:t>Archetyp JTT (stosunki JTT z uczelnią (miejsce jednostki w strukturze uczelni): scentralizowana wewnętrzna jednostka danej instytucji; wewnętrzna jednostka instytucji; firma lub organizacja zewnętrzna typu non-profit; zewnętrzna firma lub organizacja nastawiona na zysk, branżowa firma lub organizacja (ukierunkowane na konkretne sektory); firma lub organizacja zewnętrzna będąca w całości własnością danej instytucji)</w:t>
            </w:r>
          </w:p>
        </w:tc>
      </w:tr>
      <w:tr w:rsidR="00127F47" w:rsidRPr="00E40424" w:rsidTr="00F9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Times New Roman"/>
                <w:i/>
              </w:rPr>
              <w:t>Funkcje pełnione przez JTT (określenie czy transfer technologii jest głównym zadaniem JTT (tak / nie) oraz określenie innych funkcji pełnionych przez JTT: uniwersyteckie biuro badawcze; uniwersyteckie biuro kształcenia ustawicznego; sprawy administracyjne i finansowe; inne)</w:t>
            </w:r>
          </w:p>
        </w:tc>
      </w:tr>
    </w:tbl>
    <w:p w:rsidR="00771B7E" w:rsidRPr="00F94100" w:rsidRDefault="00127F47" w:rsidP="00F94100">
      <w:pPr>
        <w:pStyle w:val="Akapitzlist"/>
        <w:numPr>
          <w:ilvl w:val="0"/>
          <w:numId w:val="20"/>
        </w:numPr>
        <w:spacing w:after="160" w:line="259" w:lineRule="auto"/>
        <w:rPr>
          <w:rFonts w:ascii="Calibri" w:eastAsia="Calibri" w:hAnsi="Calibri" w:cs="Times New Roman"/>
        </w:rPr>
      </w:pPr>
      <w:r w:rsidRPr="00127F47">
        <w:rPr>
          <w:rFonts w:ascii="Calibri" w:eastAsia="Calibri" w:hAnsi="Calibri" w:cs="Times New Roman"/>
        </w:rPr>
        <w:t>Zasoby i inicjatywy (KWUZP)</w:t>
      </w:r>
    </w:p>
    <w:tbl>
      <w:tblPr>
        <w:tblStyle w:val="Tabelasiatki4akcent2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27F47" w:rsidRPr="00E40424" w:rsidTr="00F94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Times New Roman"/>
                <w:i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Utworzenie JTT (wskazanie roku, w którym powstały formalne struktury dla działań związanych z transferem wiedzy)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Kadra JTT – profesjonaliści ds. transferu technologii (liczba zatrudnionych „profesjonalistów ds. transferu technologii” na pełny etat (lub jego odpowiednik) w jednostce)</w:t>
            </w:r>
          </w:p>
        </w:tc>
      </w:tr>
      <w:tr w:rsidR="00127F47" w:rsidRPr="00E40424" w:rsidTr="00F9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Kadra JTT – pracownicy biurowi (liczba pracowników biurowych zatrudnionych na pełen etat (lub jego odpowiednik)).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Budżet JTT (należy wskazać roczny budżet jednostki oraz wskazać procentowy udział poszczególnych kategorii w całości budżetu: główne środki publiczne; środki z nadwyżek/pośrednie koszty umów badawczych, przychody z licencji; przychody z dotacji regionalnych/krajowych lub środków europejskich; środki z innych źródeł)</w:t>
            </w:r>
          </w:p>
        </w:tc>
      </w:tr>
      <w:tr w:rsidR="00127F47" w:rsidRPr="00E40424" w:rsidTr="00F9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Wydatki JTT na promocję (należy wskazać kwotę, jaka  była przeznaczona na promocję (targi, wydarzenia, materiały) w ostatnim roku finansowym)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Inicjatywy wspierające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spin-offy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(należy wskazać (tak/nie), czy jednostka posiada swój własny fundusz zalążkowy lub fundusze typu venture </w:t>
            </w:r>
            <w:proofErr w:type="spellStart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capital</w:t>
            </w:r>
            <w:proofErr w:type="spellEnd"/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)</w:t>
            </w:r>
          </w:p>
        </w:tc>
      </w:tr>
      <w:tr w:rsidR="00127F47" w:rsidRPr="00E40424" w:rsidTr="00F9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Sieciowanie JTT (należy wskazać liczbę organizacji sieciujących (krajowych, europejskich, międzynarodowych)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>,</w:t>
            </w: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do których należy jednostka)</w:t>
            </w:r>
          </w:p>
        </w:tc>
      </w:tr>
      <w:tr w:rsidR="00127F47" w:rsidRPr="00E40424" w:rsidTr="00F94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b w:val="0"/>
                <w:bCs w:val="0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>Działalność szkoleniowa</w:t>
            </w:r>
            <w:r>
              <w:rPr>
                <w:rFonts w:ascii="Calibri" w:eastAsia="Calibri" w:hAnsi="Calibri" w:cs="Calibri"/>
                <w:i/>
                <w:iCs/>
                <w:color w:val="000000"/>
              </w:rPr>
              <w:t xml:space="preserve"> JTT</w:t>
            </w: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 (należy wskazać liczbę działań rozwijających kompetencje pracowników JTT)</w:t>
            </w:r>
          </w:p>
        </w:tc>
      </w:tr>
      <w:tr w:rsidR="00127F47" w:rsidRPr="00E40424" w:rsidTr="00F94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127F47" w:rsidRPr="00E40424" w:rsidRDefault="00127F47" w:rsidP="00BB426B">
            <w:pPr>
              <w:ind w:right="113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E40424">
              <w:rPr>
                <w:rFonts w:ascii="Calibri" w:eastAsia="Calibri" w:hAnsi="Calibri" w:cs="Calibri"/>
                <w:i/>
                <w:iCs/>
                <w:color w:val="000000"/>
              </w:rPr>
              <w:t xml:space="preserve">Liczba klientów JTT (należy </w:t>
            </w:r>
            <w:r w:rsidRPr="00E40424">
              <w:rPr>
                <w:rFonts w:ascii="Calibri" w:eastAsia="Calibri" w:hAnsi="Calibri" w:cs="Times New Roman"/>
                <w:i/>
              </w:rPr>
              <w:t>wskazać liczbę klientów biznesowych JTT)</w:t>
            </w:r>
          </w:p>
        </w:tc>
      </w:tr>
    </w:tbl>
    <w:p w:rsidR="0034379E" w:rsidRDefault="0034379E" w:rsidP="00F94100"/>
    <w:sectPr w:rsidR="00343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7E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941689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09867B81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74744EE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1F57153D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F844E60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213F37AD"/>
    <w:multiLevelType w:val="hybridMultilevel"/>
    <w:tmpl w:val="4DEA6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E4EE1"/>
    <w:multiLevelType w:val="hybridMultilevel"/>
    <w:tmpl w:val="7574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E414D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2C626378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2FE634E8"/>
    <w:multiLevelType w:val="hybridMultilevel"/>
    <w:tmpl w:val="7574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33BD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>
    <w:nsid w:val="471E092F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>
    <w:nsid w:val="4BC879FC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523B5F98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55B840E2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56496D3B"/>
    <w:multiLevelType w:val="hybridMultilevel"/>
    <w:tmpl w:val="7574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A6165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629661E3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6B7818BD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72434FF5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796A25B2"/>
    <w:multiLevelType w:val="hybridMultilevel"/>
    <w:tmpl w:val="3132D050"/>
    <w:lvl w:ilvl="0" w:tplc="7D5001B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7D847B0D"/>
    <w:multiLevelType w:val="hybridMultilevel"/>
    <w:tmpl w:val="F364E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19"/>
  </w:num>
  <w:num w:numId="5">
    <w:abstractNumId w:val="15"/>
  </w:num>
  <w:num w:numId="6">
    <w:abstractNumId w:val="5"/>
  </w:num>
  <w:num w:numId="7">
    <w:abstractNumId w:val="17"/>
  </w:num>
  <w:num w:numId="8">
    <w:abstractNumId w:val="16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20"/>
  </w:num>
  <w:num w:numId="14">
    <w:abstractNumId w:val="13"/>
  </w:num>
  <w:num w:numId="15">
    <w:abstractNumId w:val="1"/>
  </w:num>
  <w:num w:numId="16">
    <w:abstractNumId w:val="0"/>
  </w:num>
  <w:num w:numId="17">
    <w:abstractNumId w:val="2"/>
  </w:num>
  <w:num w:numId="18">
    <w:abstractNumId w:val="6"/>
  </w:num>
  <w:num w:numId="19">
    <w:abstractNumId w:val="22"/>
  </w:num>
  <w:num w:numId="20">
    <w:abstractNumId w:val="21"/>
  </w:num>
  <w:num w:numId="21">
    <w:abstractNumId w:val="12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7C"/>
    <w:rsid w:val="00053E55"/>
    <w:rsid w:val="00127F47"/>
    <w:rsid w:val="001A0E3E"/>
    <w:rsid w:val="00210254"/>
    <w:rsid w:val="002C693E"/>
    <w:rsid w:val="0034379E"/>
    <w:rsid w:val="004D2291"/>
    <w:rsid w:val="006F2C2B"/>
    <w:rsid w:val="00701DEE"/>
    <w:rsid w:val="00771B7E"/>
    <w:rsid w:val="00845D7C"/>
    <w:rsid w:val="00876F66"/>
    <w:rsid w:val="00993444"/>
    <w:rsid w:val="00E15EA9"/>
    <w:rsid w:val="00F1719F"/>
    <w:rsid w:val="00F838CD"/>
    <w:rsid w:val="00F9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15EA9"/>
    <w:pPr>
      <w:keepNext/>
      <w:keepLines/>
      <w:spacing w:before="360" w:after="100" w:afterAutospacing="1"/>
      <w:jc w:val="center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EA9"/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table" w:customStyle="1" w:styleId="Tabelasiatki4akcent21">
    <w:name w:val="Tabela siatki 4 — akcent 21"/>
    <w:basedOn w:val="Standardowy"/>
    <w:next w:val="Standardowy"/>
    <w:uiPriority w:val="49"/>
    <w:rsid w:val="00845D7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uiPriority w:val="34"/>
    <w:qFormat/>
    <w:rsid w:val="00845D7C"/>
    <w:pPr>
      <w:ind w:left="720"/>
      <w:contextualSpacing/>
    </w:pPr>
  </w:style>
  <w:style w:type="table" w:customStyle="1" w:styleId="Tabelasiatki4akcent22">
    <w:name w:val="Tabela siatki 4 — akcent 22"/>
    <w:basedOn w:val="Standardowy"/>
    <w:uiPriority w:val="49"/>
    <w:rsid w:val="00771B7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4akcent23">
    <w:name w:val="Tabela siatki 4 — akcent 23"/>
    <w:basedOn w:val="Standardowy"/>
    <w:next w:val="Tabelasiatki4akcent22"/>
    <w:uiPriority w:val="49"/>
    <w:rsid w:val="00F1719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4akcent24">
    <w:name w:val="Tabela siatki 4 — akcent 24"/>
    <w:basedOn w:val="Standardowy"/>
    <w:next w:val="Tabelasiatki4akcent22"/>
    <w:uiPriority w:val="49"/>
    <w:rsid w:val="0034379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15EA9"/>
    <w:pPr>
      <w:keepNext/>
      <w:keepLines/>
      <w:spacing w:before="360" w:after="100" w:afterAutospacing="1"/>
      <w:jc w:val="center"/>
      <w:outlineLvl w:val="1"/>
    </w:pPr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EA9"/>
    <w:rPr>
      <w:rFonts w:asciiTheme="majorHAnsi" w:eastAsiaTheme="majorEastAsia" w:hAnsiTheme="majorHAnsi" w:cstheme="majorBidi"/>
      <w:b/>
      <w:bCs/>
      <w:color w:val="F79646" w:themeColor="accent6"/>
      <w:sz w:val="26"/>
      <w:szCs w:val="26"/>
    </w:rPr>
  </w:style>
  <w:style w:type="table" w:customStyle="1" w:styleId="Tabelasiatki4akcent21">
    <w:name w:val="Tabela siatki 4 — akcent 21"/>
    <w:basedOn w:val="Standardowy"/>
    <w:next w:val="Standardowy"/>
    <w:uiPriority w:val="49"/>
    <w:rsid w:val="00845D7C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paragraph" w:styleId="Akapitzlist">
    <w:name w:val="List Paragraph"/>
    <w:basedOn w:val="Normalny"/>
    <w:uiPriority w:val="34"/>
    <w:qFormat/>
    <w:rsid w:val="00845D7C"/>
    <w:pPr>
      <w:ind w:left="720"/>
      <w:contextualSpacing/>
    </w:pPr>
  </w:style>
  <w:style w:type="table" w:customStyle="1" w:styleId="Tabelasiatki4akcent22">
    <w:name w:val="Tabela siatki 4 — akcent 22"/>
    <w:basedOn w:val="Standardowy"/>
    <w:uiPriority w:val="49"/>
    <w:rsid w:val="00771B7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4akcent23">
    <w:name w:val="Tabela siatki 4 — akcent 23"/>
    <w:basedOn w:val="Standardowy"/>
    <w:next w:val="Tabelasiatki4akcent22"/>
    <w:uiPriority w:val="49"/>
    <w:rsid w:val="00F1719F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siatki4akcent24">
    <w:name w:val="Tabela siatki 4 — akcent 24"/>
    <w:basedOn w:val="Standardowy"/>
    <w:next w:val="Tabelasiatki4akcent22"/>
    <w:uiPriority w:val="49"/>
    <w:rsid w:val="0034379E"/>
    <w:pPr>
      <w:spacing w:after="0" w:line="240" w:lineRule="auto"/>
    </w:p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10775</Characters>
  <Application>Microsoft Office Word</Application>
  <DocSecurity>4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Rybińska</dc:creator>
  <cp:lastModifiedBy>Katarzyna Sobejko</cp:lastModifiedBy>
  <cp:revision>2</cp:revision>
  <dcterms:created xsi:type="dcterms:W3CDTF">2017-11-17T12:01:00Z</dcterms:created>
  <dcterms:modified xsi:type="dcterms:W3CDTF">2017-11-17T12:01:00Z</dcterms:modified>
</cp:coreProperties>
</file>