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</w:t>
      </w:r>
      <w:r w:rsidR="00D3010E" w:rsidRPr="00626D35">
        <w:rPr>
          <w:szCs w:val="24"/>
        </w:rPr>
        <w:t xml:space="preserve">ofertowym </w:t>
      </w:r>
      <w:r w:rsidR="004C28DE" w:rsidRPr="00626D35">
        <w:rPr>
          <w:szCs w:val="24"/>
        </w:rPr>
        <w:t>na</w:t>
      </w:r>
      <w:r w:rsidRPr="00626D35">
        <w:rPr>
          <w:bCs/>
          <w:szCs w:val="24"/>
        </w:rPr>
        <w:t xml:space="preserve"> </w:t>
      </w:r>
      <w:r w:rsidR="00C8580A" w:rsidRPr="00626D35">
        <w:rPr>
          <w:bCs/>
          <w:szCs w:val="24"/>
        </w:rPr>
        <w:t xml:space="preserve">świadczenie </w:t>
      </w:r>
      <w:r w:rsidR="00626D35" w:rsidRPr="00626D35">
        <w:rPr>
          <w:szCs w:val="24"/>
        </w:rPr>
        <w:t xml:space="preserve">usługi wynajmu sal konferencyjnych wraz z usługą gastronomiczną w celu organizacji „School Power” – spotkanie dla beneficjentów kończących realizację projektów dotyczące rozliczania oraz upowszechniania i promocji </w:t>
      </w:r>
      <w:r w:rsidR="00EC3A17">
        <w:rPr>
          <w:szCs w:val="24"/>
        </w:rPr>
        <w:t>rezultatów w Poznaniu</w:t>
      </w:r>
      <w:bookmarkStart w:id="0" w:name="_GoBack"/>
      <w:bookmarkEnd w:id="0"/>
      <w:r w:rsidR="00626D35" w:rsidRPr="00626D35">
        <w:rPr>
          <w:szCs w:val="24"/>
        </w:rPr>
        <w:t>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7230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26D3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3A17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B8AB-D1C2-463C-95E4-F11556F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2018-02-26T12:38:00Z</dcterms:created>
  <dcterms:modified xsi:type="dcterms:W3CDTF">2018-02-26T12:38:00Z</dcterms:modified>
</cp:coreProperties>
</file>