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  <w:r w:rsidR="002847FB">
        <w:rPr>
          <w:b/>
        </w:rPr>
        <w:t xml:space="preserve">dr Pawła </w:t>
      </w:r>
      <w:proofErr w:type="spellStart"/>
      <w:r w:rsidR="002847FB">
        <w:rPr>
          <w:b/>
        </w:rPr>
        <w:t>Poszytka</w:t>
      </w:r>
      <w:proofErr w:type="spellEnd"/>
      <w:r w:rsidRPr="00282EF2">
        <w:t xml:space="preserve"> –</w:t>
      </w:r>
      <w:r w:rsidR="002847FB">
        <w:t xml:space="preserve"> </w:t>
      </w:r>
      <w:r w:rsidRPr="00282EF2">
        <w:t xml:space="preserve">Dyrektora Generalnego FRSE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28</w:t>
      </w:r>
      <w:r>
        <w:rPr>
          <w:iCs/>
        </w:rPr>
        <w:t>.0</w:t>
      </w:r>
      <w:r w:rsidR="007B3DB7">
        <w:rPr>
          <w:iCs/>
        </w:rPr>
        <w:t>2</w:t>
      </w:r>
      <w:r>
        <w:rPr>
          <w:iCs/>
        </w:rPr>
        <w:t>.201</w:t>
      </w:r>
      <w:r w:rsidR="00DE4CF4">
        <w:rPr>
          <w:iCs/>
        </w:rPr>
        <w:t>8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>Wykonawca zobowiązuje się świadczyć usługi będące przedmiotem niniejszej umowy w hotelu …..mieszczącym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ma </w:t>
      </w:r>
      <w:r w:rsidRPr="00FD2485">
        <w:rPr>
          <w:iCs/>
        </w:rPr>
        <w:t>możliwości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Cena brutto zawiera podatek VAT naliczony zgodnie z przepisami obowiązującymi w dniu </w:t>
      </w:r>
      <w:r>
        <w:t>powstania obowiązku podatkowego</w:t>
      </w:r>
      <w:r w:rsidRPr="00096FB2">
        <w:t xml:space="preserve"> oraz wszelkie inne koszty związa</w:t>
      </w:r>
      <w:r>
        <w:t xml:space="preserve">ne z należytą realizacją umowy.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umowie terminy anulacji bez</w:t>
      </w:r>
      <w:r w:rsidR="004A26C5">
        <w:t xml:space="preserve"> </w:t>
      </w:r>
      <w:r w:rsidR="00BB07D9" w:rsidRPr="00636FB8">
        <w:t>kosztowej</w:t>
      </w:r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:rsidR="00FB3D81" w:rsidRDefault="00FB3D81" w:rsidP="00BF7029">
      <w:pPr>
        <w:rPr>
          <w:b/>
          <w:iCs/>
        </w:rPr>
      </w:pP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umowy w postaci zestawienia zbiorczego (w wersji elektronicznej) wykonanych usług (wystawionych faktur), w nieprzekraczalnych terminach: - do 10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>
        <w:t>hotelu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434F2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>do naliczenia kar umownych według poniższych zasad</w:t>
      </w:r>
      <w:r w:rsidRPr="00434F2B">
        <w:t>:</w:t>
      </w:r>
      <w:r w:rsidR="00016E7B" w:rsidRPr="00434F2B">
        <w:t xml:space="preserve"> </w:t>
      </w:r>
    </w:p>
    <w:p w:rsidR="00E40FA6" w:rsidRPr="00434F2B" w:rsidRDefault="00CC1261" w:rsidP="00CC1261">
      <w:pPr>
        <w:ind w:left="709" w:hanging="1"/>
        <w:jc w:val="both"/>
      </w:pPr>
      <w:r>
        <w:t xml:space="preserve">a) </w:t>
      </w:r>
      <w:r w:rsidR="00BD219A">
        <w:t xml:space="preserve">krócej niż </w:t>
      </w:r>
      <w:r w:rsidR="002742BB">
        <w:t xml:space="preserve">31-22 dni przed spotkaniem </w:t>
      </w:r>
      <w:r w:rsidR="00E40FA6" w:rsidRPr="00434F2B">
        <w:t>-</w:t>
      </w:r>
      <w:r w:rsidR="002742BB">
        <w:t xml:space="preserve"> </w:t>
      </w:r>
      <w:r w:rsidR="009F5B2C" w:rsidRPr="00434F2B">
        <w:t xml:space="preserve">10 </w:t>
      </w:r>
      <w:r w:rsidR="00E40FA6" w:rsidRPr="00434F2B">
        <w:t xml:space="preserve">% szacowanej wartości </w:t>
      </w:r>
      <w:r w:rsidR="002742BB">
        <w:t xml:space="preserve">każdorazowego zamówienia o którym mowa w </w:t>
      </w:r>
      <w:r w:rsidR="002742BB">
        <w:rPr>
          <w:b/>
          <w:iCs/>
        </w:rPr>
        <w:t>§3</w:t>
      </w:r>
    </w:p>
    <w:p w:rsidR="00E40FA6" w:rsidRPr="00434F2B" w:rsidRDefault="00CC1261" w:rsidP="00CC1261">
      <w:pPr>
        <w:ind w:left="709" w:hanging="1"/>
        <w:jc w:val="both"/>
      </w:pPr>
      <w:r>
        <w:t xml:space="preserve">b) </w:t>
      </w:r>
      <w:r w:rsidR="00BD219A">
        <w:t xml:space="preserve">krócej niż </w:t>
      </w:r>
      <w:r w:rsidR="00434F2B" w:rsidRPr="00434F2B">
        <w:t xml:space="preserve">21-15 dni przed </w:t>
      </w:r>
      <w:r w:rsidR="002742BB">
        <w:t>spotkaniem</w:t>
      </w:r>
      <w:r w:rsidR="007A31C3">
        <w:t xml:space="preserve"> </w:t>
      </w:r>
      <w:r w:rsidR="00434F2B" w:rsidRPr="00434F2B">
        <w:t>-</w:t>
      </w:r>
      <w:r w:rsidR="002742BB">
        <w:t xml:space="preserve"> </w:t>
      </w:r>
      <w:r w:rsidR="001560F8" w:rsidRPr="00434F2B">
        <w:t>30</w:t>
      </w:r>
      <w:r w:rsidR="00E40FA6" w:rsidRPr="00434F2B">
        <w:t xml:space="preserve">% szacowanej wartości </w:t>
      </w:r>
      <w:r w:rsidR="002742BB">
        <w:t xml:space="preserve">każdorazowego zamówienia o którym mowa w </w:t>
      </w:r>
      <w:r w:rsidR="002742BB">
        <w:rPr>
          <w:b/>
          <w:iCs/>
        </w:rPr>
        <w:t>§3</w:t>
      </w:r>
    </w:p>
    <w:p w:rsidR="00BE34F0" w:rsidRDefault="00CC1261" w:rsidP="00CC1261">
      <w:pPr>
        <w:ind w:left="709" w:hanging="1"/>
        <w:jc w:val="both"/>
      </w:pPr>
      <w:r>
        <w:t xml:space="preserve">c) </w:t>
      </w:r>
      <w:r w:rsidR="00BD219A">
        <w:t xml:space="preserve">krócej </w:t>
      </w:r>
      <w:r w:rsidR="00FF54BF">
        <w:t xml:space="preserve">niż </w:t>
      </w:r>
      <w:r w:rsidR="002742BB">
        <w:t xml:space="preserve">14-8 dni przed </w:t>
      </w:r>
      <w:r>
        <w:t>spotkaniem</w:t>
      </w:r>
      <w:r w:rsidR="002742BB">
        <w:t xml:space="preserve"> </w:t>
      </w:r>
      <w:r w:rsidR="00434F2B" w:rsidRPr="00434F2B">
        <w:t>-</w:t>
      </w:r>
      <w:r w:rsidR="009F5B2C" w:rsidRPr="00434F2B">
        <w:t xml:space="preserve"> </w:t>
      </w:r>
      <w:r w:rsidR="001560F8" w:rsidRPr="00434F2B">
        <w:t xml:space="preserve">60 </w:t>
      </w:r>
      <w:r w:rsidR="00E40FA6" w:rsidRPr="00434F2B">
        <w:t xml:space="preserve">% szacowanej wartości </w:t>
      </w:r>
      <w:r w:rsidR="002742BB">
        <w:t xml:space="preserve">każdorazowego  zamówienia o którym mowa w </w:t>
      </w:r>
      <w:r w:rsidR="002742B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>
        <w:t xml:space="preserve">d) </w:t>
      </w:r>
      <w:r w:rsidR="00BD219A">
        <w:t xml:space="preserve">krócej </w:t>
      </w:r>
      <w:r w:rsidR="00FF54BF">
        <w:t xml:space="preserve">niż </w:t>
      </w:r>
      <w:r>
        <w:t xml:space="preserve">7-0 dni przed spotkaniem </w:t>
      </w:r>
      <w:r w:rsidR="00E40FA6" w:rsidRPr="00434F2B">
        <w:t xml:space="preserve">- </w:t>
      </w:r>
      <w:r w:rsidR="001560F8" w:rsidRPr="00434F2B">
        <w:t xml:space="preserve">100 </w:t>
      </w:r>
      <w:r w:rsidR="00E40FA6" w:rsidRPr="00434F2B">
        <w:t xml:space="preserve">% szacowanej wartości </w:t>
      </w:r>
      <w:r w:rsidR="002742BB">
        <w:t xml:space="preserve">każdorazowego zamówienia o którym mowa w </w:t>
      </w:r>
      <w:r w:rsidR="002742BB">
        <w:rPr>
          <w:b/>
          <w:iCs/>
        </w:rPr>
        <w:t>§3</w:t>
      </w:r>
      <w:r w:rsidR="00105A58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123377" w:rsidRDefault="00123377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1" w:name="bookmark81"/>
      <w:r w:rsidRPr="00AC797E">
        <w:t>Zamawiającemu przysługuje prawo rozwiązania ze skutkiem natychmiastowym niniejszej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 razie wystąpienia istotnej zmiany okoliczności powodującej, że wykonanie umowy nie leży w interesie publicznym, czego nie można było przewidzieć w chwili zawarcia </w:t>
      </w:r>
      <w:r w:rsidRPr="00AD36C3">
        <w:lastRenderedPageBreak/>
        <w:t xml:space="preserve">umowy, Zamawiający może odstąpić od umowy w terminie 30 dni od powzięcia wiadomości o powyższych okolicznościach. Wykonawca ma prawo żądać jedynie wynagrodzenia należnego mu z tytułu wykonania części umowy.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1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hotelowy,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116669" w:rsidRPr="00467D26" w:rsidRDefault="00116669" w:rsidP="00E563E9">
      <w:pPr>
        <w:rPr>
          <w:iCs/>
          <w:sz w:val="20"/>
          <w:szCs w:val="20"/>
        </w:rPr>
      </w:pPr>
    </w:p>
    <w:p w:rsidR="00D75831" w:rsidRPr="00467D26" w:rsidRDefault="00D75831" w:rsidP="00D75831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534EB4" w:rsidRPr="00467D26" w:rsidRDefault="00534EB4" w:rsidP="00E528EA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Formularz </w:t>
      </w:r>
      <w:r w:rsidR="008F7AB4" w:rsidRPr="00467D26">
        <w:rPr>
          <w:sz w:val="20"/>
          <w:szCs w:val="20"/>
        </w:rPr>
        <w:t>oferty;</w:t>
      </w:r>
    </w:p>
    <w:p w:rsidR="00D75831" w:rsidRPr="00467D26" w:rsidRDefault="00534EB4" w:rsidP="00E528EA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Opis przedmiotu zamówienia</w:t>
      </w:r>
      <w:r w:rsidR="008F7AB4" w:rsidRPr="00467D26">
        <w:rPr>
          <w:sz w:val="20"/>
          <w:szCs w:val="20"/>
        </w:rPr>
        <w:t>;</w:t>
      </w:r>
      <w:r w:rsidRPr="00467D26">
        <w:rPr>
          <w:sz w:val="20"/>
          <w:szCs w:val="20"/>
        </w:rPr>
        <w:t xml:space="preserve"> </w:t>
      </w:r>
    </w:p>
    <w:p w:rsidR="00FD2485" w:rsidRPr="00467D26" w:rsidRDefault="00FD2485" w:rsidP="00E528EA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</w:t>
      </w:r>
      <w:r w:rsidR="008F7AB4" w:rsidRPr="00467D26">
        <w:rPr>
          <w:sz w:val="20"/>
          <w:szCs w:val="20"/>
        </w:rPr>
        <w:t>;</w:t>
      </w:r>
    </w:p>
    <w:p w:rsidR="00D75831" w:rsidRPr="00467D26" w:rsidRDefault="009716BE" w:rsidP="00E528EA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</w:t>
      </w:r>
      <w:r w:rsidR="008F7AB4" w:rsidRPr="00467D26">
        <w:rPr>
          <w:sz w:val="20"/>
          <w:szCs w:val="20"/>
        </w:rPr>
        <w:t>;</w:t>
      </w:r>
    </w:p>
    <w:p w:rsidR="00E84F28" w:rsidRDefault="00E84F28" w:rsidP="00E528EA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Wzór protokołu z nienależycie wykonanej </w:t>
      </w:r>
      <w:r w:rsidR="008F7AB4" w:rsidRPr="00467D26">
        <w:rPr>
          <w:sz w:val="20"/>
          <w:szCs w:val="20"/>
        </w:rPr>
        <w:t>Usługi.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5C3382" w:rsidRPr="00F17577" w:rsidRDefault="005C3382" w:rsidP="00DC0740">
      <w:pPr>
        <w:jc w:val="both"/>
        <w:rPr>
          <w:rFonts w:ascii="Arial" w:hAnsi="Arial" w:cs="Arial"/>
          <w:sz w:val="19"/>
          <w:szCs w:val="19"/>
        </w:rPr>
      </w:pPr>
    </w:p>
    <w:sectPr w:rsidR="005C3382" w:rsidRPr="00F17577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983884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B684C" w:rsidRPr="005B684C">
      <w:rPr>
        <w:b/>
        <w:noProof/>
      </w:rPr>
      <w:t>7</w:t>
    </w:r>
    <w:r>
      <w:rPr>
        <w:b/>
        <w:noProof/>
      </w:rPr>
      <w:fldChar w:fldCharType="end"/>
    </w:r>
    <w:r w:rsidR="0069161F">
      <w:rPr>
        <w:b/>
      </w:rPr>
      <w:t xml:space="preserve"> | </w:t>
    </w:r>
    <w:r w:rsidR="0069161F">
      <w:rPr>
        <w:color w:val="7F7F7F"/>
        <w:spacing w:val="60"/>
      </w:rPr>
      <w:t>Strona</w:t>
    </w:r>
  </w:p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4"/>
  </w:num>
  <w:num w:numId="20">
    <w:abstractNumId w:val="18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C"/>
    <w:rsid w:val="00016E7B"/>
    <w:rsid w:val="000208AC"/>
    <w:rsid w:val="00021A4B"/>
    <w:rsid w:val="000231DF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2373</Words>
  <Characters>15396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131</cp:revision>
  <cp:lastPrinted>2017-02-14T10:56:00Z</cp:lastPrinted>
  <dcterms:created xsi:type="dcterms:W3CDTF">2014-03-28T11:37:00Z</dcterms:created>
  <dcterms:modified xsi:type="dcterms:W3CDTF">2017-02-14T10:56:00Z</dcterms:modified>
</cp:coreProperties>
</file>