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B6F" w:rsidRPr="00326D31" w:rsidRDefault="007B7B6F" w:rsidP="00871DFF">
      <w:pPr>
        <w:spacing w:after="0" w:line="288" w:lineRule="auto"/>
        <w:jc w:val="both"/>
        <w:rPr>
          <w:rFonts w:ascii="Times New Roman" w:eastAsia="Times New Roman" w:hAnsi="Times New Roman" w:cs="Times New Roman"/>
          <w:lang w:val="en-US" w:eastAsia="pl-PL"/>
        </w:rPr>
      </w:pPr>
      <w:bookmarkStart w:id="0" w:name="_GoBack"/>
      <w:bookmarkEnd w:id="0"/>
      <w:proofErr w:type="spellStart"/>
      <w:r w:rsidRPr="00326D31">
        <w:rPr>
          <w:rFonts w:ascii="Times New Roman" w:eastAsia="Times New Roman" w:hAnsi="Times New Roman" w:cs="Times New Roman"/>
          <w:lang w:val="en-US" w:eastAsia="pl-PL"/>
        </w:rPr>
        <w:t>Tekst</w:t>
      </w:r>
      <w:proofErr w:type="spellEnd"/>
      <w:r w:rsidRPr="00326D31">
        <w:rPr>
          <w:rFonts w:ascii="Times New Roman" w:eastAsia="Times New Roman" w:hAnsi="Times New Roman" w:cs="Times New Roman"/>
          <w:lang w:val="en-US" w:eastAsia="pl-PL"/>
        </w:rPr>
        <w:t xml:space="preserve"> </w:t>
      </w:r>
      <w:proofErr w:type="spellStart"/>
      <w:r w:rsidRPr="00326D31">
        <w:rPr>
          <w:rFonts w:ascii="Times New Roman" w:eastAsia="Times New Roman" w:hAnsi="Times New Roman" w:cs="Times New Roman"/>
          <w:lang w:val="en-US" w:eastAsia="pl-PL"/>
        </w:rPr>
        <w:t>nr</w:t>
      </w:r>
      <w:proofErr w:type="spellEnd"/>
      <w:r w:rsidRPr="00326D31">
        <w:rPr>
          <w:rFonts w:ascii="Times New Roman" w:eastAsia="Times New Roman" w:hAnsi="Times New Roman" w:cs="Times New Roman"/>
          <w:lang w:val="en-US" w:eastAsia="pl-PL"/>
        </w:rPr>
        <w:t xml:space="preserve"> 1 (EN – PL)</w:t>
      </w:r>
    </w:p>
    <w:p w:rsidR="00657651" w:rsidRPr="00326D31" w:rsidRDefault="00657651" w:rsidP="00871DFF">
      <w:pPr>
        <w:spacing w:after="0" w:line="288" w:lineRule="auto"/>
        <w:jc w:val="both"/>
        <w:rPr>
          <w:rFonts w:ascii="Times New Roman" w:eastAsia="Times New Roman" w:hAnsi="Times New Roman" w:cs="Times New Roman"/>
          <w:lang w:val="en-US" w:eastAsia="pl-PL"/>
        </w:rPr>
      </w:pPr>
      <w:r w:rsidRPr="00326D31">
        <w:rPr>
          <w:rFonts w:ascii="Times New Roman" w:eastAsia="Times New Roman" w:hAnsi="Times New Roman" w:cs="Times New Roman"/>
          <w:b/>
          <w:lang w:val="en-US" w:eastAsia="pl-PL"/>
        </w:rPr>
        <w:t xml:space="preserve">Recognition of qualifications </w:t>
      </w:r>
    </w:p>
    <w:p w:rsidR="00657651" w:rsidRPr="00326D31" w:rsidRDefault="00657651" w:rsidP="00871DFF">
      <w:pPr>
        <w:spacing w:after="0" w:line="288" w:lineRule="auto"/>
        <w:jc w:val="both"/>
        <w:rPr>
          <w:rFonts w:ascii="Times New Roman" w:eastAsia="Times New Roman" w:hAnsi="Times New Roman" w:cs="Times New Roman"/>
          <w:b/>
          <w:lang w:val="en-US" w:eastAsia="pl-PL"/>
        </w:rPr>
      </w:pPr>
      <w:r w:rsidRPr="00326D31">
        <w:rPr>
          <w:rFonts w:ascii="Times New Roman" w:eastAsia="Times New Roman" w:hAnsi="Times New Roman" w:cs="Times New Roman"/>
          <w:b/>
          <w:lang w:val="en-US" w:eastAsia="pl-PL"/>
        </w:rPr>
        <w:t xml:space="preserve">Background analysis </w:t>
      </w:r>
    </w:p>
    <w:p w:rsidR="00657651" w:rsidRPr="00326D31" w:rsidRDefault="00657651" w:rsidP="00871DFF">
      <w:pPr>
        <w:spacing w:after="0" w:line="288" w:lineRule="auto"/>
        <w:jc w:val="both"/>
        <w:rPr>
          <w:rFonts w:ascii="Times New Roman" w:eastAsia="Times New Roman" w:hAnsi="Times New Roman" w:cs="Times New Roman"/>
          <w:lang w:val="en-US" w:eastAsia="pl-PL"/>
        </w:rPr>
      </w:pPr>
      <w:r w:rsidRPr="00326D31">
        <w:rPr>
          <w:rFonts w:ascii="Times New Roman" w:eastAsia="Times New Roman" w:hAnsi="Times New Roman" w:cs="Times New Roman"/>
          <w:lang w:val="en-US" w:eastAsia="pl-PL"/>
        </w:rPr>
        <w:t xml:space="preserve">One of the hopes and expectations of the Bologna Process when it was launched in 1999 was that, through establishing convergent degree structures across Europe, it would become much easier for students to be mobile and study in different systems. A necessary condition for this to happen is not only that </w:t>
      </w:r>
      <w:proofErr w:type="spellStart"/>
      <w:r w:rsidRPr="00326D31">
        <w:rPr>
          <w:rFonts w:ascii="Times New Roman" w:eastAsia="Times New Roman" w:hAnsi="Times New Roman" w:cs="Times New Roman"/>
          <w:lang w:val="en-US" w:eastAsia="pl-PL"/>
        </w:rPr>
        <w:t>programmes</w:t>
      </w:r>
      <w:proofErr w:type="spellEnd"/>
      <w:r w:rsidRPr="00326D31">
        <w:rPr>
          <w:rFonts w:ascii="Times New Roman" w:eastAsia="Times New Roman" w:hAnsi="Times New Roman" w:cs="Times New Roman"/>
          <w:lang w:val="en-US" w:eastAsia="pl-PL"/>
        </w:rPr>
        <w:t xml:space="preserve"> and degrees are easily understandable, but also that qualifications are easily </w:t>
      </w:r>
      <w:proofErr w:type="spellStart"/>
      <w:r w:rsidRPr="00326D31">
        <w:rPr>
          <w:rFonts w:ascii="Times New Roman" w:eastAsia="Times New Roman" w:hAnsi="Times New Roman" w:cs="Times New Roman"/>
          <w:lang w:val="en-US" w:eastAsia="pl-PL"/>
        </w:rPr>
        <w:t>recognised</w:t>
      </w:r>
      <w:proofErr w:type="spellEnd"/>
      <w:r w:rsidRPr="00326D31">
        <w:rPr>
          <w:rFonts w:ascii="Times New Roman" w:eastAsia="Times New Roman" w:hAnsi="Times New Roman" w:cs="Times New Roman"/>
          <w:lang w:val="en-US" w:eastAsia="pl-PL"/>
        </w:rPr>
        <w:t xml:space="preserve">. For the learner, recognition can potentially serve two purposes. The first is to enable access to the </w:t>
      </w:r>
      <w:proofErr w:type="spellStart"/>
      <w:r w:rsidRPr="00326D31">
        <w:rPr>
          <w:rFonts w:ascii="Times New Roman" w:eastAsia="Times New Roman" w:hAnsi="Times New Roman" w:cs="Times New Roman"/>
          <w:lang w:val="en-US" w:eastAsia="pl-PL"/>
        </w:rPr>
        <w:t>labour</w:t>
      </w:r>
      <w:proofErr w:type="spellEnd"/>
      <w:r w:rsidRPr="00326D31">
        <w:rPr>
          <w:rFonts w:ascii="Times New Roman" w:eastAsia="Times New Roman" w:hAnsi="Times New Roman" w:cs="Times New Roman"/>
          <w:lang w:val="en-US" w:eastAsia="pl-PL"/>
        </w:rPr>
        <w:t xml:space="preserve"> market, and in a European Union based on the free movement of goods, services and peoples, this is essential. The second purpose is to continue studies in another country, and it is this concept which is relevant in the context of the Mobility Scoreboard. </w:t>
      </w:r>
    </w:p>
    <w:p w:rsidR="00657651" w:rsidRPr="00326D31" w:rsidRDefault="00657651" w:rsidP="00871DFF">
      <w:pPr>
        <w:spacing w:after="0" w:line="288" w:lineRule="auto"/>
        <w:jc w:val="both"/>
        <w:rPr>
          <w:rFonts w:ascii="Times New Roman" w:eastAsia="Times New Roman" w:hAnsi="Times New Roman" w:cs="Times New Roman"/>
          <w:lang w:val="en-US" w:eastAsia="pl-PL"/>
        </w:rPr>
      </w:pPr>
      <w:r w:rsidRPr="00326D31">
        <w:rPr>
          <w:rFonts w:ascii="Times New Roman" w:eastAsia="Times New Roman" w:hAnsi="Times New Roman" w:cs="Times New Roman"/>
          <w:lang w:val="en-US" w:eastAsia="pl-PL"/>
        </w:rPr>
        <w:t xml:space="preserve">After a number of years of efforts to establish and develop a European Higher Education Area, the EHEA Ministers of higher education </w:t>
      </w:r>
      <w:proofErr w:type="spellStart"/>
      <w:r w:rsidRPr="00326D31">
        <w:rPr>
          <w:rFonts w:ascii="Times New Roman" w:eastAsia="Times New Roman" w:hAnsi="Times New Roman" w:cs="Times New Roman"/>
          <w:lang w:val="en-US" w:eastAsia="pl-PL"/>
        </w:rPr>
        <w:t>recognised</w:t>
      </w:r>
      <w:proofErr w:type="spellEnd"/>
      <w:r w:rsidRPr="00326D31">
        <w:rPr>
          <w:rFonts w:ascii="Times New Roman" w:eastAsia="Times New Roman" w:hAnsi="Times New Roman" w:cs="Times New Roman"/>
          <w:lang w:val="en-US" w:eastAsia="pl-PL"/>
        </w:rPr>
        <w:t xml:space="preserve"> that, despite many positive developments, smooth recognition of academic qualifications was not yet ensured, and that procedures for the academic recognition of qualifications were often lengthy and burdensome. This is the reason why, in 2012 in Bucharest, the Ministers of higher education across the EHEA committed themselves to the long-term objective of 'automatic recognition' of comparable academic degrees. </w:t>
      </w:r>
    </w:p>
    <w:p w:rsidR="00AA643E" w:rsidRPr="00326D31" w:rsidRDefault="00AA643E" w:rsidP="00871DFF">
      <w:pPr>
        <w:spacing w:after="0" w:line="288" w:lineRule="auto"/>
        <w:jc w:val="both"/>
        <w:rPr>
          <w:rFonts w:ascii="Times New Roman" w:eastAsia="Times New Roman" w:hAnsi="Times New Roman" w:cs="Times New Roman"/>
          <w:lang w:val="en-US" w:eastAsia="pl-PL"/>
        </w:rPr>
      </w:pPr>
    </w:p>
    <w:p w:rsidR="007B7B6F" w:rsidRPr="00326D31" w:rsidRDefault="007B7B6F" w:rsidP="00871DFF">
      <w:pPr>
        <w:spacing w:after="0" w:line="288" w:lineRule="auto"/>
        <w:jc w:val="both"/>
        <w:rPr>
          <w:rFonts w:ascii="Times New Roman" w:eastAsia="Times New Roman" w:hAnsi="Times New Roman" w:cs="Times New Roman"/>
          <w:lang w:val="en-US" w:eastAsia="pl-PL"/>
        </w:rPr>
      </w:pPr>
      <w:proofErr w:type="spellStart"/>
      <w:r w:rsidRPr="00326D31">
        <w:rPr>
          <w:rFonts w:ascii="Times New Roman" w:eastAsia="Times New Roman" w:hAnsi="Times New Roman" w:cs="Times New Roman"/>
          <w:lang w:val="en-US" w:eastAsia="pl-PL"/>
        </w:rPr>
        <w:t>Tekst</w:t>
      </w:r>
      <w:proofErr w:type="spellEnd"/>
      <w:r w:rsidRPr="00326D31">
        <w:rPr>
          <w:rFonts w:ascii="Times New Roman" w:eastAsia="Times New Roman" w:hAnsi="Times New Roman" w:cs="Times New Roman"/>
          <w:lang w:val="en-US" w:eastAsia="pl-PL"/>
        </w:rPr>
        <w:t xml:space="preserve"> </w:t>
      </w:r>
      <w:proofErr w:type="spellStart"/>
      <w:r w:rsidRPr="00326D31">
        <w:rPr>
          <w:rFonts w:ascii="Times New Roman" w:eastAsia="Times New Roman" w:hAnsi="Times New Roman" w:cs="Times New Roman"/>
          <w:lang w:val="en-US" w:eastAsia="pl-PL"/>
        </w:rPr>
        <w:t>nr</w:t>
      </w:r>
      <w:proofErr w:type="spellEnd"/>
      <w:r w:rsidRPr="00326D31">
        <w:rPr>
          <w:rFonts w:ascii="Times New Roman" w:eastAsia="Times New Roman" w:hAnsi="Times New Roman" w:cs="Times New Roman"/>
          <w:lang w:val="en-US" w:eastAsia="pl-PL"/>
        </w:rPr>
        <w:t xml:space="preserve"> 2 (EN – PL)</w:t>
      </w:r>
    </w:p>
    <w:p w:rsidR="007B7B6F" w:rsidRPr="00326D31" w:rsidRDefault="007B7B6F" w:rsidP="00871DFF">
      <w:pPr>
        <w:pStyle w:val="Default"/>
        <w:spacing w:line="288" w:lineRule="auto"/>
        <w:jc w:val="both"/>
        <w:rPr>
          <w:rFonts w:ascii="Times New Roman" w:hAnsi="Times New Roman" w:cs="Times New Roman"/>
          <w:b/>
          <w:bCs/>
          <w:sz w:val="22"/>
          <w:szCs w:val="22"/>
          <w:lang w:val="en-US"/>
        </w:rPr>
      </w:pPr>
      <w:r w:rsidRPr="00326D31">
        <w:rPr>
          <w:rFonts w:ascii="Times New Roman" w:hAnsi="Times New Roman" w:cs="Times New Roman"/>
          <w:b/>
          <w:bCs/>
          <w:sz w:val="22"/>
          <w:szCs w:val="22"/>
          <w:lang w:val="en-US"/>
        </w:rPr>
        <w:t xml:space="preserve">Employment contracts in academia </w:t>
      </w:r>
    </w:p>
    <w:p w:rsidR="00667179" w:rsidRPr="00326D31" w:rsidRDefault="007B7B6F" w:rsidP="00871DFF">
      <w:pPr>
        <w:spacing w:after="0" w:line="288" w:lineRule="auto"/>
        <w:jc w:val="both"/>
        <w:rPr>
          <w:rFonts w:ascii="Times New Roman" w:hAnsi="Times New Roman" w:cs="Times New Roman"/>
          <w:lang w:val="en-US"/>
        </w:rPr>
      </w:pPr>
      <w:r w:rsidRPr="00326D31">
        <w:rPr>
          <w:rFonts w:ascii="Times New Roman" w:hAnsi="Times New Roman" w:cs="Times New Roman"/>
          <w:lang w:val="en-US"/>
        </w:rPr>
        <w:t>As Figure 4.1 shows, in almost all European countries, both fixed-term and indefinite contracts are used to employ academics. Latvia and Slovakia are the only exceptions to this pattern, providing no opportunity for academic staff to conclude a contract for an indefinite period of time. More precisely, in Latvia, legislation limits the duration of contracts with staff in the main academic career path – i.e. professors, associate professors, assistant professors, lecturers and assistants – to six years, whereas contracts with other academics (e.g. visiting professors or staff delivering specific courses) are generally shorter, either concluded for a period of up to two years or hourly-paid. A comparable situation can be observed in Slovakia, where no academic staff category benefits from indefinite contracts.</w:t>
      </w:r>
    </w:p>
    <w:p w:rsidR="00871DFF" w:rsidRPr="00326D31" w:rsidRDefault="00871DFF" w:rsidP="00871DFF">
      <w:pPr>
        <w:spacing w:after="0" w:line="288" w:lineRule="auto"/>
        <w:jc w:val="both"/>
        <w:rPr>
          <w:rFonts w:ascii="Times New Roman" w:hAnsi="Times New Roman" w:cs="Times New Roman"/>
          <w:lang w:val="en-US"/>
        </w:rPr>
      </w:pPr>
    </w:p>
    <w:p w:rsidR="00667179" w:rsidRPr="00326D31" w:rsidRDefault="00667179" w:rsidP="00871DFF">
      <w:pPr>
        <w:spacing w:after="0" w:line="288" w:lineRule="auto"/>
        <w:jc w:val="both"/>
        <w:rPr>
          <w:rFonts w:ascii="Times New Roman" w:hAnsi="Times New Roman" w:cs="Times New Roman"/>
          <w:lang w:val="en-US"/>
        </w:rPr>
      </w:pPr>
      <w:proofErr w:type="spellStart"/>
      <w:r w:rsidRPr="00326D31">
        <w:rPr>
          <w:rFonts w:ascii="Times New Roman" w:hAnsi="Times New Roman" w:cs="Times New Roman"/>
          <w:lang w:val="en-US"/>
        </w:rPr>
        <w:t>Tekst</w:t>
      </w:r>
      <w:proofErr w:type="spellEnd"/>
      <w:r w:rsidRPr="00326D31">
        <w:rPr>
          <w:rFonts w:ascii="Times New Roman" w:hAnsi="Times New Roman" w:cs="Times New Roman"/>
          <w:lang w:val="en-US"/>
        </w:rPr>
        <w:t xml:space="preserve"> </w:t>
      </w:r>
      <w:proofErr w:type="spellStart"/>
      <w:r w:rsidRPr="00326D31">
        <w:rPr>
          <w:rFonts w:ascii="Times New Roman" w:hAnsi="Times New Roman" w:cs="Times New Roman"/>
          <w:lang w:val="en-US"/>
        </w:rPr>
        <w:t>nr</w:t>
      </w:r>
      <w:proofErr w:type="spellEnd"/>
      <w:r w:rsidRPr="00326D31">
        <w:rPr>
          <w:rFonts w:ascii="Times New Roman" w:hAnsi="Times New Roman" w:cs="Times New Roman"/>
          <w:lang w:val="en-US"/>
        </w:rPr>
        <w:t xml:space="preserve"> 3 (EN - PL)</w:t>
      </w:r>
    </w:p>
    <w:p w:rsidR="00667179" w:rsidRPr="00326D31" w:rsidRDefault="00667179" w:rsidP="00871DFF">
      <w:pPr>
        <w:spacing w:after="0" w:line="288" w:lineRule="auto"/>
        <w:jc w:val="both"/>
        <w:rPr>
          <w:rFonts w:ascii="Times New Roman" w:hAnsi="Times New Roman" w:cs="Times New Roman"/>
          <w:b/>
          <w:lang w:val="en-US"/>
        </w:rPr>
      </w:pPr>
      <w:r w:rsidRPr="00326D31">
        <w:rPr>
          <w:rFonts w:ascii="Times New Roman" w:hAnsi="Times New Roman" w:cs="Times New Roman"/>
          <w:b/>
          <w:lang w:val="en-US"/>
        </w:rPr>
        <w:t>Language support measures for newly arrived migrant students</w:t>
      </w:r>
    </w:p>
    <w:p w:rsidR="00667179" w:rsidRPr="00326D31" w:rsidRDefault="00667179" w:rsidP="00871DFF">
      <w:pPr>
        <w:autoSpaceDE w:val="0"/>
        <w:autoSpaceDN w:val="0"/>
        <w:adjustRightInd w:val="0"/>
        <w:spacing w:after="0" w:line="288" w:lineRule="auto"/>
        <w:jc w:val="both"/>
        <w:rPr>
          <w:rFonts w:ascii="Times New Roman" w:hAnsi="Times New Roman" w:cs="Times New Roman"/>
          <w:lang w:val="en-US"/>
        </w:rPr>
      </w:pPr>
      <w:r w:rsidRPr="00326D31">
        <w:rPr>
          <w:rFonts w:ascii="Times New Roman" w:hAnsi="Times New Roman" w:cs="Times New Roman"/>
          <w:lang w:val="en-US"/>
        </w:rPr>
        <w:t>Figure E14 shows the available language learning support measures for newly arrived migrant</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students integrated into mainstream education. These language support measures are usually also</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available for those migrant students that have attended the reception classes, but still need some</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language support. Moreover, some language measures might be available for all students that speak</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other mother tongue than the language of schooling at home. Normally, similar types and diversity of</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language support is available in those countries that have reception classes and in those where all</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migrant students are directly integrated into mainstream classrooms according to their age. However,</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the language support measures might be less frequent or less intensive for those students that</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attended reception classes and joined regular classes with some knowledge of the language of</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schooling.</w:t>
      </w:r>
    </w:p>
    <w:p w:rsidR="00667179" w:rsidRPr="00326D31" w:rsidRDefault="00667179" w:rsidP="00871DFF">
      <w:pPr>
        <w:autoSpaceDE w:val="0"/>
        <w:autoSpaceDN w:val="0"/>
        <w:adjustRightInd w:val="0"/>
        <w:spacing w:after="0" w:line="288" w:lineRule="auto"/>
        <w:jc w:val="both"/>
        <w:rPr>
          <w:rFonts w:ascii="Times New Roman" w:hAnsi="Times New Roman" w:cs="Times New Roman"/>
          <w:b/>
          <w:bCs/>
          <w:lang w:val="en-US"/>
        </w:rPr>
      </w:pPr>
      <w:r w:rsidRPr="00326D31">
        <w:rPr>
          <w:rFonts w:ascii="Times New Roman" w:hAnsi="Times New Roman" w:cs="Times New Roman"/>
          <w:b/>
          <w:bCs/>
          <w:lang w:val="en-US"/>
        </w:rPr>
        <w:t>Only 10 education systems recommend or require specific qualifications to teach students with migrant background</w:t>
      </w:r>
    </w:p>
    <w:p w:rsidR="00667179" w:rsidRPr="00326D31" w:rsidRDefault="00667179" w:rsidP="00871DFF">
      <w:pPr>
        <w:autoSpaceDE w:val="0"/>
        <w:autoSpaceDN w:val="0"/>
        <w:adjustRightInd w:val="0"/>
        <w:spacing w:after="0" w:line="288" w:lineRule="auto"/>
        <w:jc w:val="both"/>
        <w:rPr>
          <w:rFonts w:ascii="Times New Roman" w:hAnsi="Times New Roman" w:cs="Times New Roman"/>
          <w:lang w:val="en-US"/>
        </w:rPr>
      </w:pPr>
      <w:r w:rsidRPr="00326D31">
        <w:rPr>
          <w:rFonts w:ascii="Times New Roman" w:hAnsi="Times New Roman" w:cs="Times New Roman"/>
          <w:lang w:val="en-US"/>
        </w:rPr>
        <w:t>Teaching in a multicultural or multilingual setting requires specific skills. These may be acquired within</w:t>
      </w:r>
      <w:r w:rsidR="006E4442" w:rsidRPr="00326D31">
        <w:rPr>
          <w:rFonts w:ascii="Times New Roman" w:hAnsi="Times New Roman" w:cs="Times New Roman"/>
          <w:lang w:val="en-US"/>
        </w:rPr>
        <w:t xml:space="preserve"> </w:t>
      </w:r>
      <w:r w:rsidRPr="00326D31">
        <w:rPr>
          <w:rFonts w:ascii="Times New Roman" w:hAnsi="Times New Roman" w:cs="Times New Roman"/>
          <w:lang w:val="en-US"/>
        </w:rPr>
        <w:t>the initial teacher education and further developed in the continuing professional development.</w:t>
      </w:r>
      <w:r w:rsidR="006E4442" w:rsidRPr="00326D31">
        <w:rPr>
          <w:rFonts w:ascii="Times New Roman" w:hAnsi="Times New Roman" w:cs="Times New Roman"/>
          <w:lang w:val="en-US"/>
        </w:rPr>
        <w:t xml:space="preserve"> </w:t>
      </w:r>
      <w:r w:rsidRPr="00326D31">
        <w:rPr>
          <w:rFonts w:ascii="Times New Roman" w:hAnsi="Times New Roman" w:cs="Times New Roman"/>
          <w:lang w:val="en-US"/>
        </w:rPr>
        <w:t>However, in the TALIS 2013 survey, 37.9 % of the lower secondary teachers expressed a moderate to</w:t>
      </w:r>
      <w:r w:rsidR="006E4442" w:rsidRPr="00326D31">
        <w:rPr>
          <w:rFonts w:ascii="Times New Roman" w:hAnsi="Times New Roman" w:cs="Times New Roman"/>
          <w:lang w:val="en-US"/>
        </w:rPr>
        <w:t xml:space="preserve"> </w:t>
      </w:r>
      <w:r w:rsidRPr="00326D31">
        <w:rPr>
          <w:rFonts w:ascii="Times New Roman" w:hAnsi="Times New Roman" w:cs="Times New Roman"/>
          <w:lang w:val="en-US"/>
        </w:rPr>
        <w:lastRenderedPageBreak/>
        <w:t>high need for professional development in this area, whereas only 13.3 % of them followed training</w:t>
      </w:r>
      <w:r w:rsidR="006E4442" w:rsidRPr="00326D31">
        <w:rPr>
          <w:rFonts w:ascii="Times New Roman" w:hAnsi="Times New Roman" w:cs="Times New Roman"/>
          <w:lang w:val="en-US"/>
        </w:rPr>
        <w:t xml:space="preserve"> </w:t>
      </w:r>
      <w:r w:rsidRPr="00326D31">
        <w:rPr>
          <w:rFonts w:ascii="Times New Roman" w:hAnsi="Times New Roman" w:cs="Times New Roman"/>
          <w:lang w:val="en-US"/>
        </w:rPr>
        <w:t>activities in this field in the 12 months prior to the survey (see Figure 3.12 in European</w:t>
      </w:r>
    </w:p>
    <w:p w:rsidR="00667179" w:rsidRPr="00326D31" w:rsidRDefault="00667179" w:rsidP="00871DFF">
      <w:pPr>
        <w:spacing w:after="0" w:line="288" w:lineRule="auto"/>
        <w:jc w:val="both"/>
        <w:rPr>
          <w:rFonts w:ascii="Times New Roman" w:hAnsi="Times New Roman" w:cs="Times New Roman"/>
          <w:lang w:val="en-US"/>
        </w:rPr>
      </w:pPr>
      <w:r w:rsidRPr="00326D31">
        <w:rPr>
          <w:rFonts w:ascii="Times New Roman" w:hAnsi="Times New Roman" w:cs="Times New Roman"/>
          <w:lang w:val="en-US"/>
        </w:rPr>
        <w:t>Commission/EACEA/Eurydice, 2015b).</w:t>
      </w:r>
    </w:p>
    <w:p w:rsidR="00667179" w:rsidRPr="00326D31" w:rsidRDefault="00667179" w:rsidP="00871DFF">
      <w:pPr>
        <w:autoSpaceDE w:val="0"/>
        <w:autoSpaceDN w:val="0"/>
        <w:adjustRightInd w:val="0"/>
        <w:spacing w:after="0" w:line="288" w:lineRule="auto"/>
        <w:jc w:val="both"/>
        <w:rPr>
          <w:rFonts w:ascii="Times New Roman" w:hAnsi="Times New Roman" w:cs="Times New Roman"/>
          <w:lang w:val="en-US"/>
        </w:rPr>
      </w:pPr>
      <w:r w:rsidRPr="00326D31">
        <w:rPr>
          <w:rFonts w:ascii="Times New Roman" w:hAnsi="Times New Roman" w:cs="Times New Roman"/>
          <w:lang w:val="en-US"/>
        </w:rPr>
        <w:t>In Austria and Sweden, the role of teachers as facilitators for the integration of students with migrant</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background is taken into account and mainstreamed in initial teacher education, as part of the basic</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 xml:space="preserve">compulsory training for all prospective teachers. The Centre for </w:t>
      </w:r>
      <w:proofErr w:type="spellStart"/>
      <w:r w:rsidRPr="00326D31">
        <w:rPr>
          <w:rFonts w:ascii="Times New Roman" w:hAnsi="Times New Roman" w:cs="Times New Roman"/>
          <w:lang w:val="en-US"/>
        </w:rPr>
        <w:t>Interculturality</w:t>
      </w:r>
      <w:proofErr w:type="spellEnd"/>
      <w:r w:rsidRPr="00326D31">
        <w:rPr>
          <w:rFonts w:ascii="Times New Roman" w:hAnsi="Times New Roman" w:cs="Times New Roman"/>
          <w:lang w:val="en-US"/>
        </w:rPr>
        <w:t>, Migration and</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Multilingualism cooperates with the Austrian Ministry of Education to promote these issues within</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teacher education. 'Diversity and gender competencies' is defined as one of the six competencies to</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be acquired within initial teacher education. It encompasses some compulsory topics such as</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'migration background', 'German as a language of educational discourse', 'German as a second</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 xml:space="preserve">language'. The Austrian Ministry of Education also recently made compulsory participation </w:t>
      </w:r>
      <w:r w:rsidR="00AA643E" w:rsidRPr="00326D31">
        <w:rPr>
          <w:rFonts w:ascii="Times New Roman" w:hAnsi="Times New Roman" w:cs="Times New Roman"/>
          <w:lang w:val="en-US"/>
        </w:rPr>
        <w:t>in</w:t>
      </w:r>
      <w:r w:rsidRPr="00326D31">
        <w:rPr>
          <w:rFonts w:ascii="Times New Roman" w:hAnsi="Times New Roman" w:cs="Times New Roman"/>
          <w:lang w:val="en-US"/>
        </w:rPr>
        <w:t xml:space="preserve"> a course</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on 'Diversity of languages/Multilingualism/Intercultural education' in the framework of continuing</w:t>
      </w:r>
      <w:r w:rsidR="00914504" w:rsidRPr="00326D31">
        <w:rPr>
          <w:rFonts w:ascii="Times New Roman" w:hAnsi="Times New Roman" w:cs="Times New Roman"/>
          <w:lang w:val="en-US"/>
        </w:rPr>
        <w:t xml:space="preserve"> </w:t>
      </w:r>
      <w:r w:rsidRPr="00326D31">
        <w:rPr>
          <w:rFonts w:ascii="Times New Roman" w:hAnsi="Times New Roman" w:cs="Times New Roman"/>
          <w:lang w:val="en-US"/>
        </w:rPr>
        <w:t>professional development</w:t>
      </w:r>
      <w:r w:rsidR="00AA643E" w:rsidRPr="00326D31">
        <w:rPr>
          <w:rFonts w:ascii="Times New Roman" w:hAnsi="Times New Roman" w:cs="Times New Roman"/>
          <w:lang w:val="en-US"/>
        </w:rPr>
        <w:t>.</w:t>
      </w:r>
    </w:p>
    <w:p w:rsidR="00914504" w:rsidRPr="00326D31" w:rsidRDefault="00914504" w:rsidP="00871DFF">
      <w:pPr>
        <w:autoSpaceDE w:val="0"/>
        <w:autoSpaceDN w:val="0"/>
        <w:adjustRightInd w:val="0"/>
        <w:spacing w:after="0" w:line="288" w:lineRule="auto"/>
        <w:jc w:val="both"/>
        <w:rPr>
          <w:rFonts w:ascii="Times New Roman" w:hAnsi="Times New Roman" w:cs="Times New Roman"/>
          <w:lang w:val="en-US"/>
        </w:rPr>
      </w:pPr>
    </w:p>
    <w:p w:rsidR="00AA643E" w:rsidRPr="00326D31" w:rsidRDefault="00AA643E" w:rsidP="00871DFF">
      <w:pPr>
        <w:spacing w:after="0" w:line="288" w:lineRule="auto"/>
        <w:jc w:val="both"/>
        <w:rPr>
          <w:rFonts w:ascii="Times New Roman" w:hAnsi="Times New Roman" w:cs="Times New Roman"/>
        </w:rPr>
      </w:pPr>
      <w:r w:rsidRPr="00326D31">
        <w:rPr>
          <w:rFonts w:ascii="Times New Roman" w:hAnsi="Times New Roman" w:cs="Times New Roman"/>
        </w:rPr>
        <w:t>Tekst nr 4 (PL – EN)</w:t>
      </w:r>
    </w:p>
    <w:p w:rsidR="00AA643E" w:rsidRPr="00326D31" w:rsidRDefault="00AA643E"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“Statystyka statystyką, a pozostaje pytanie jak płace zasadnicze wynikające z przepisów mają się do faktycznych pieniędzy spływających na konta pracowników europejskich szkół. Według danych Eurydice, w rzeczywistości w podstawówkach i w szkołach średnich większości krajów faktyczne zarobki nauczycieli są na poziomie maksymalnej płacy ustawowej lub bywają nawet od niej wyższe. Powody do narzekania mogą mieć jednak nauczyciele chorwaccy, portugalscy czy węgierscy, których faktyczna wypłata nie różni się znacząco od ustawowego minimum. W przypadku Polski oznaczałoby to, że w rzeczywistości doświadczeni nauczyciele zarabiają średnio jedną trzecią więcej niż wynosi ich ustawowa pensja, a zarobki początkujących są od płacy zasadniczej aż dwa razy wyższe. W związku z tym, że faktyczne zarobki polskich nauczycieli w dużej mierze zależą również od samorządów i szkół, stawki w poszczególnych regionach nie rozkładają się jednak tak jednoznacznie.</w:t>
      </w:r>
    </w:p>
    <w:p w:rsidR="00594DE3" w:rsidRPr="00326D31" w:rsidRDefault="00AA643E"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Europejskie trendy i niesprecyzowana perspektywa finansowa mogą nie zachęcać do podjęcia pracy w zawodzie nauczyciela, a jednak w Polsce chętnych najwyraźniej nie brakuje. Europejska Sieć Eurydice wskazuje właśnie Polskę jako wyróżniającą się na tle innych krajów niemal dwukrotnie wyższym od europejskiej średniej odsetkiem absolwentów kierunków związanych z nauczaniem. W Niemczech, gdzie perspektywa finansowa nauczycieli przedstawia się zdecydowanie atrakcyjniej, sytuacja jest odwrotna – niewielu studentów wybiera kierunki kończące się pracą w szkole…”  </w:t>
      </w:r>
    </w:p>
    <w:p w:rsidR="00594DE3" w:rsidRPr="00326D31" w:rsidRDefault="00594DE3" w:rsidP="00871DFF">
      <w:pPr>
        <w:spacing w:after="0" w:line="288" w:lineRule="auto"/>
        <w:jc w:val="both"/>
        <w:rPr>
          <w:rFonts w:ascii="Times New Roman" w:hAnsi="Times New Roman" w:cs="Times New Roman"/>
        </w:rPr>
      </w:pPr>
    </w:p>
    <w:p w:rsidR="00667179" w:rsidRPr="00326D31" w:rsidRDefault="00AA643E" w:rsidP="00871DFF">
      <w:pPr>
        <w:spacing w:after="0" w:line="288" w:lineRule="auto"/>
        <w:jc w:val="both"/>
        <w:rPr>
          <w:rFonts w:ascii="Times New Roman" w:hAnsi="Times New Roman" w:cs="Times New Roman"/>
        </w:rPr>
      </w:pPr>
      <w:r w:rsidRPr="00326D31">
        <w:rPr>
          <w:rFonts w:ascii="Times New Roman" w:hAnsi="Times New Roman" w:cs="Times New Roman"/>
        </w:rPr>
        <w:t> </w:t>
      </w:r>
      <w:r w:rsidR="00594DE3" w:rsidRPr="00326D31">
        <w:rPr>
          <w:rFonts w:ascii="Times New Roman" w:hAnsi="Times New Roman" w:cs="Times New Roman"/>
        </w:rPr>
        <w:t>Tekst nr  5 (PL – EN)</w:t>
      </w:r>
    </w:p>
    <w:p w:rsidR="00594DE3" w:rsidRPr="00326D31" w:rsidRDefault="00594DE3"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Głównymi organizacjami, które świadczą wsparcie dla wolontariuszy są Centra Wolontariatu. Placówki te tworzą w Polsce Sieć Centrów Wolontariatu. Jest to dobrowolne zrzeszenie Centrów, które oferują szereg usług adresowanych zarówno do wolontariuszy, organizacji pozarządowych jak i placówek publicznych zainteresowanych współpracą.</w:t>
      </w:r>
    </w:p>
    <w:p w:rsidR="00594DE3" w:rsidRPr="00326D31" w:rsidRDefault="00594DE3"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W zakresie usług oferowanych przez Centra znajdują się m.in.</w:t>
      </w:r>
    </w:p>
    <w:p w:rsidR="00594DE3" w:rsidRPr="00326D31" w:rsidRDefault="00594DE3" w:rsidP="00871DFF">
      <w:pPr>
        <w:pStyle w:val="Akapitzlist"/>
        <w:numPr>
          <w:ilvl w:val="0"/>
          <w:numId w:val="1"/>
        </w:num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Pośrednictwo wolontariatu – pomoc w skojarzeniu wolontariuszy i placówek zainteresowanych wzajemna współpracą</w:t>
      </w:r>
    </w:p>
    <w:p w:rsidR="00594DE3" w:rsidRPr="00326D31" w:rsidRDefault="00594DE3" w:rsidP="00871DFF">
      <w:pPr>
        <w:pStyle w:val="Akapitzlist"/>
        <w:numPr>
          <w:ilvl w:val="0"/>
          <w:numId w:val="1"/>
        </w:num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Szkolenia dla wolontariuszy i koordynatorów pracy wolontariuszy. Szkolenia mają za zadanie przygotować zainteresowane strony do rozpoczęcia działań oraz pomóc w organizacji pracy wolontariuszy</w:t>
      </w:r>
    </w:p>
    <w:p w:rsidR="00594DE3" w:rsidRPr="00326D31" w:rsidRDefault="00594DE3" w:rsidP="00871DFF">
      <w:pPr>
        <w:pStyle w:val="Akapitzlist"/>
        <w:numPr>
          <w:ilvl w:val="0"/>
          <w:numId w:val="1"/>
        </w:num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Przygotowywanie publikacji (głównie poradników) z dziedziny wolontariatu</w:t>
      </w:r>
    </w:p>
    <w:p w:rsidR="00594DE3" w:rsidRPr="00326D31" w:rsidRDefault="00594DE3" w:rsidP="00871DFF">
      <w:pPr>
        <w:pStyle w:val="Akapitzlist"/>
        <w:numPr>
          <w:ilvl w:val="0"/>
          <w:numId w:val="1"/>
        </w:num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Konsultacje w tym – pomoc prawna, wsparcie organizacyjne w prowadzeniu programów</w:t>
      </w:r>
    </w:p>
    <w:p w:rsidR="00594DE3" w:rsidRPr="00326D31" w:rsidRDefault="00594DE3" w:rsidP="00871DFF">
      <w:pPr>
        <w:pStyle w:val="Akapitzlist"/>
        <w:numPr>
          <w:ilvl w:val="0"/>
          <w:numId w:val="1"/>
        </w:num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Promocja wolontariatu – organizacja kampanii promocyjnych, konkursów dla wolontariuszy</w:t>
      </w:r>
      <w:r w:rsidR="006E4442" w:rsidRPr="00326D31">
        <w:rPr>
          <w:rFonts w:ascii="Times New Roman" w:hAnsi="Times New Roman" w:cs="Times New Roman"/>
        </w:rPr>
        <w:t>.</w:t>
      </w:r>
    </w:p>
    <w:p w:rsidR="00594DE3" w:rsidRPr="00326D31" w:rsidRDefault="00594DE3"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lastRenderedPageBreak/>
        <w:t>Obecnie w Sieci Cent</w:t>
      </w:r>
      <w:r w:rsidR="006E4442" w:rsidRPr="00326D31">
        <w:rPr>
          <w:rFonts w:ascii="Times New Roman" w:hAnsi="Times New Roman" w:cs="Times New Roman"/>
        </w:rPr>
        <w:t>r</w:t>
      </w:r>
      <w:r w:rsidRPr="00326D31">
        <w:rPr>
          <w:rFonts w:ascii="Times New Roman" w:hAnsi="Times New Roman" w:cs="Times New Roman"/>
        </w:rPr>
        <w:t>ów Wolontariatu skupionych jest 9 regionalnych placówek oraz ok. 30 lokalnych centrów wolontariatu.</w:t>
      </w:r>
    </w:p>
    <w:p w:rsidR="00594DE3" w:rsidRPr="00326D31" w:rsidRDefault="00594DE3" w:rsidP="00871DFF">
      <w:pPr>
        <w:spacing w:after="0" w:line="288" w:lineRule="auto"/>
        <w:jc w:val="both"/>
        <w:rPr>
          <w:rFonts w:ascii="Times New Roman" w:hAnsi="Times New Roman" w:cs="Times New Roman"/>
        </w:rPr>
      </w:pPr>
    </w:p>
    <w:p w:rsidR="003366E3" w:rsidRPr="00326D31" w:rsidRDefault="003366E3" w:rsidP="00871DFF">
      <w:pPr>
        <w:spacing w:after="0" w:line="288" w:lineRule="auto"/>
        <w:jc w:val="both"/>
        <w:rPr>
          <w:rFonts w:ascii="Times New Roman" w:hAnsi="Times New Roman" w:cs="Times New Roman"/>
        </w:rPr>
      </w:pPr>
      <w:r w:rsidRPr="00326D31">
        <w:rPr>
          <w:rFonts w:ascii="Times New Roman" w:hAnsi="Times New Roman" w:cs="Times New Roman"/>
        </w:rPr>
        <w:t>Tekst nr 6 (PL – EN)</w:t>
      </w:r>
    </w:p>
    <w:p w:rsidR="003366E3" w:rsidRPr="00326D31" w:rsidRDefault="003366E3" w:rsidP="00871DFF">
      <w:pPr>
        <w:autoSpaceDE w:val="0"/>
        <w:autoSpaceDN w:val="0"/>
        <w:adjustRightInd w:val="0"/>
        <w:spacing w:after="0" w:line="288" w:lineRule="auto"/>
        <w:jc w:val="both"/>
        <w:rPr>
          <w:rFonts w:ascii="Times New Roman" w:hAnsi="Times New Roman" w:cs="Times New Roman"/>
        </w:rPr>
      </w:pPr>
      <w:r w:rsidRPr="00326D31">
        <w:rPr>
          <w:rFonts w:ascii="Times New Roman" w:hAnsi="Times New Roman" w:cs="Times New Roman"/>
        </w:rPr>
        <w:t>Przejście od edukacji do pracy i zatrudnienia jest procesem bardzo ważnym dla młodego człowieka. Od jego powodzenia zależy nie tylko wyzwolenie spod kontroli rodziców (opuszczenie domu rodzinnego, samodzielność finansowa), ale też realizacja aspiracji, ambicji, planów – życiowych i zawodowych (kupno mieszkania, założenie własnej rodziny). Praca to nie tylko źródło dochodów, które jednym pozwalają przetrwać, innym godnie lub wygodnie żyć. Praca ma być dzisiaj również źródłem satysfakcji i okazją do osobistego rozwoju. Przede wszystkim jest warunkiem niezależności i autonomii rozumianej jako możliwość podejmowania samodzielnych decyzji życiowych. Ta ostatnia wartość jest szczególnie ceniona przez młodych, bo pozwala widzieć w sobie osoby dorosłe. Pozostawanie bez pracy jest więc powodem niezadowolenia młodych, ponieważ utrzymuje ich w trudnym psychicznie stanie zawieszenia między zależnością od dorosłych a niezależnością, uniemożliwia zaspokojenie ważnych życiowo potrzeb, by z czasem zagrozić społecznym wykluczeniem.</w:t>
      </w:r>
    </w:p>
    <w:p w:rsidR="003366E3" w:rsidRPr="00326D31" w:rsidRDefault="003366E3" w:rsidP="00871DFF">
      <w:pPr>
        <w:autoSpaceDE w:val="0"/>
        <w:autoSpaceDN w:val="0"/>
        <w:adjustRightInd w:val="0"/>
        <w:spacing w:after="0" w:line="288" w:lineRule="auto"/>
        <w:jc w:val="both"/>
        <w:rPr>
          <w:rFonts w:ascii="Times New Roman" w:hAnsi="Times New Roman" w:cs="Times New Roman"/>
        </w:rPr>
      </w:pPr>
    </w:p>
    <w:sectPr w:rsidR="003366E3" w:rsidRPr="00326D3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31" w:rsidRDefault="00326D31" w:rsidP="00326D31">
      <w:pPr>
        <w:spacing w:after="0" w:line="240" w:lineRule="auto"/>
      </w:pPr>
      <w:r>
        <w:separator/>
      </w:r>
    </w:p>
  </w:endnote>
  <w:endnote w:type="continuationSeparator" w:id="0">
    <w:p w:rsidR="00326D31" w:rsidRDefault="00326D31" w:rsidP="0032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35371"/>
      <w:docPartObj>
        <w:docPartGallery w:val="Page Numbers (Bottom of Page)"/>
        <w:docPartUnique/>
      </w:docPartObj>
    </w:sdtPr>
    <w:sdtEndPr>
      <w:rPr>
        <w:noProof/>
      </w:rPr>
    </w:sdtEndPr>
    <w:sdtContent>
      <w:p w:rsidR="00977DEF" w:rsidRDefault="00977DEF">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rsidR="00977DEF" w:rsidRDefault="00977D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31" w:rsidRDefault="00326D31" w:rsidP="00326D31">
      <w:pPr>
        <w:spacing w:after="0" w:line="240" w:lineRule="auto"/>
      </w:pPr>
      <w:r>
        <w:separator/>
      </w:r>
    </w:p>
  </w:footnote>
  <w:footnote w:type="continuationSeparator" w:id="0">
    <w:p w:rsidR="00326D31" w:rsidRDefault="00326D31" w:rsidP="00326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1" w:rsidRPr="00326D31" w:rsidRDefault="00326D31" w:rsidP="00326D31">
    <w:pPr>
      <w:pStyle w:val="Nagwek"/>
      <w:jc w:val="right"/>
      <w:rPr>
        <w:rFonts w:ascii="Times New Roman" w:hAnsi="Times New Roman" w:cs="Times New Roman"/>
      </w:rPr>
    </w:pPr>
    <w:r w:rsidRPr="00326D31">
      <w:rPr>
        <w:rFonts w:ascii="Times New Roman" w:hAnsi="Times New Roman" w:cs="Times New Roman"/>
      </w:rPr>
      <w:t>Załącznik nr 5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23ACC"/>
    <w:multiLevelType w:val="hybridMultilevel"/>
    <w:tmpl w:val="ED50C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51"/>
    <w:rsid w:val="00326D31"/>
    <w:rsid w:val="003366E3"/>
    <w:rsid w:val="00447A17"/>
    <w:rsid w:val="00594DE3"/>
    <w:rsid w:val="00657651"/>
    <w:rsid w:val="00667179"/>
    <w:rsid w:val="006D3E5D"/>
    <w:rsid w:val="006E4442"/>
    <w:rsid w:val="007B7B6F"/>
    <w:rsid w:val="00871DFF"/>
    <w:rsid w:val="00914504"/>
    <w:rsid w:val="00977DEF"/>
    <w:rsid w:val="00AA643E"/>
    <w:rsid w:val="00B52BBA"/>
    <w:rsid w:val="00FF2E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7B6F"/>
    <w:pPr>
      <w:autoSpaceDE w:val="0"/>
      <w:autoSpaceDN w:val="0"/>
      <w:adjustRightInd w:val="0"/>
      <w:spacing w:after="0" w:line="240" w:lineRule="auto"/>
    </w:pPr>
    <w:rPr>
      <w:rFonts w:ascii="Arial Narrow" w:hAnsi="Arial Narrow" w:cs="Arial Narrow"/>
      <w:color w:val="000000"/>
      <w:sz w:val="24"/>
      <w:szCs w:val="24"/>
    </w:rPr>
  </w:style>
  <w:style w:type="paragraph" w:styleId="Akapitzlist">
    <w:name w:val="List Paragraph"/>
    <w:basedOn w:val="Normalny"/>
    <w:uiPriority w:val="34"/>
    <w:qFormat/>
    <w:rsid w:val="00871DFF"/>
    <w:pPr>
      <w:ind w:left="720"/>
      <w:contextualSpacing/>
    </w:pPr>
  </w:style>
  <w:style w:type="paragraph" w:styleId="Nagwek">
    <w:name w:val="header"/>
    <w:basedOn w:val="Normalny"/>
    <w:link w:val="NagwekZnak"/>
    <w:uiPriority w:val="99"/>
    <w:unhideWhenUsed/>
    <w:rsid w:val="00326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D31"/>
  </w:style>
  <w:style w:type="paragraph" w:styleId="Stopka">
    <w:name w:val="footer"/>
    <w:basedOn w:val="Normalny"/>
    <w:link w:val="StopkaZnak"/>
    <w:uiPriority w:val="99"/>
    <w:unhideWhenUsed/>
    <w:rsid w:val="00326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B7B6F"/>
    <w:pPr>
      <w:autoSpaceDE w:val="0"/>
      <w:autoSpaceDN w:val="0"/>
      <w:adjustRightInd w:val="0"/>
      <w:spacing w:after="0" w:line="240" w:lineRule="auto"/>
    </w:pPr>
    <w:rPr>
      <w:rFonts w:ascii="Arial Narrow" w:hAnsi="Arial Narrow" w:cs="Arial Narrow"/>
      <w:color w:val="000000"/>
      <w:sz w:val="24"/>
      <w:szCs w:val="24"/>
    </w:rPr>
  </w:style>
  <w:style w:type="paragraph" w:styleId="Akapitzlist">
    <w:name w:val="List Paragraph"/>
    <w:basedOn w:val="Normalny"/>
    <w:uiPriority w:val="34"/>
    <w:qFormat/>
    <w:rsid w:val="00871DFF"/>
    <w:pPr>
      <w:ind w:left="720"/>
      <w:contextualSpacing/>
    </w:pPr>
  </w:style>
  <w:style w:type="paragraph" w:styleId="Nagwek">
    <w:name w:val="header"/>
    <w:basedOn w:val="Normalny"/>
    <w:link w:val="NagwekZnak"/>
    <w:uiPriority w:val="99"/>
    <w:unhideWhenUsed/>
    <w:rsid w:val="00326D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6D31"/>
  </w:style>
  <w:style w:type="paragraph" w:styleId="Stopka">
    <w:name w:val="footer"/>
    <w:basedOn w:val="Normalny"/>
    <w:link w:val="StopkaZnak"/>
    <w:uiPriority w:val="99"/>
    <w:unhideWhenUsed/>
    <w:rsid w:val="00326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3576">
      <w:bodyDiv w:val="1"/>
      <w:marLeft w:val="0"/>
      <w:marRight w:val="0"/>
      <w:marTop w:val="0"/>
      <w:marBottom w:val="0"/>
      <w:divBdr>
        <w:top w:val="none" w:sz="0" w:space="0" w:color="auto"/>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
        <w:div w:id="1751734365">
          <w:marLeft w:val="0"/>
          <w:marRight w:val="0"/>
          <w:marTop w:val="0"/>
          <w:marBottom w:val="0"/>
          <w:divBdr>
            <w:top w:val="none" w:sz="0" w:space="0" w:color="auto"/>
            <w:left w:val="none" w:sz="0" w:space="0" w:color="auto"/>
            <w:bottom w:val="none" w:sz="0" w:space="0" w:color="auto"/>
            <w:right w:val="none" w:sz="0" w:space="0" w:color="auto"/>
          </w:divBdr>
        </w:div>
        <w:div w:id="169756963">
          <w:marLeft w:val="0"/>
          <w:marRight w:val="0"/>
          <w:marTop w:val="0"/>
          <w:marBottom w:val="0"/>
          <w:divBdr>
            <w:top w:val="none" w:sz="0" w:space="0" w:color="auto"/>
            <w:left w:val="none" w:sz="0" w:space="0" w:color="auto"/>
            <w:bottom w:val="none" w:sz="0" w:space="0" w:color="auto"/>
            <w:right w:val="none" w:sz="0" w:space="0" w:color="auto"/>
          </w:divBdr>
        </w:div>
        <w:div w:id="1840348352">
          <w:marLeft w:val="0"/>
          <w:marRight w:val="0"/>
          <w:marTop w:val="0"/>
          <w:marBottom w:val="0"/>
          <w:divBdr>
            <w:top w:val="none" w:sz="0" w:space="0" w:color="auto"/>
            <w:left w:val="none" w:sz="0" w:space="0" w:color="auto"/>
            <w:bottom w:val="none" w:sz="0" w:space="0" w:color="auto"/>
            <w:right w:val="none" w:sz="0" w:space="0" w:color="auto"/>
          </w:divBdr>
        </w:div>
        <w:div w:id="303630648">
          <w:marLeft w:val="0"/>
          <w:marRight w:val="0"/>
          <w:marTop w:val="0"/>
          <w:marBottom w:val="0"/>
          <w:divBdr>
            <w:top w:val="none" w:sz="0" w:space="0" w:color="auto"/>
            <w:left w:val="none" w:sz="0" w:space="0" w:color="auto"/>
            <w:bottom w:val="none" w:sz="0" w:space="0" w:color="auto"/>
            <w:right w:val="none" w:sz="0" w:space="0" w:color="auto"/>
          </w:divBdr>
        </w:div>
        <w:div w:id="594870459">
          <w:marLeft w:val="0"/>
          <w:marRight w:val="0"/>
          <w:marTop w:val="0"/>
          <w:marBottom w:val="0"/>
          <w:divBdr>
            <w:top w:val="none" w:sz="0" w:space="0" w:color="auto"/>
            <w:left w:val="none" w:sz="0" w:space="0" w:color="auto"/>
            <w:bottom w:val="none" w:sz="0" w:space="0" w:color="auto"/>
            <w:right w:val="none" w:sz="0" w:space="0" w:color="auto"/>
          </w:divBdr>
        </w:div>
        <w:div w:id="304237551">
          <w:marLeft w:val="0"/>
          <w:marRight w:val="0"/>
          <w:marTop w:val="0"/>
          <w:marBottom w:val="0"/>
          <w:divBdr>
            <w:top w:val="none" w:sz="0" w:space="0" w:color="auto"/>
            <w:left w:val="none" w:sz="0" w:space="0" w:color="auto"/>
            <w:bottom w:val="none" w:sz="0" w:space="0" w:color="auto"/>
            <w:right w:val="none" w:sz="0" w:space="0" w:color="auto"/>
          </w:divBdr>
        </w:div>
        <w:div w:id="763262450">
          <w:marLeft w:val="0"/>
          <w:marRight w:val="0"/>
          <w:marTop w:val="0"/>
          <w:marBottom w:val="0"/>
          <w:divBdr>
            <w:top w:val="none" w:sz="0" w:space="0" w:color="auto"/>
            <w:left w:val="none" w:sz="0" w:space="0" w:color="auto"/>
            <w:bottom w:val="none" w:sz="0" w:space="0" w:color="auto"/>
            <w:right w:val="none" w:sz="0" w:space="0" w:color="auto"/>
          </w:divBdr>
        </w:div>
        <w:div w:id="2052807312">
          <w:marLeft w:val="0"/>
          <w:marRight w:val="0"/>
          <w:marTop w:val="0"/>
          <w:marBottom w:val="0"/>
          <w:divBdr>
            <w:top w:val="none" w:sz="0" w:space="0" w:color="auto"/>
            <w:left w:val="none" w:sz="0" w:space="0" w:color="auto"/>
            <w:bottom w:val="none" w:sz="0" w:space="0" w:color="auto"/>
            <w:right w:val="none" w:sz="0" w:space="0" w:color="auto"/>
          </w:divBdr>
        </w:div>
        <w:div w:id="1594242071">
          <w:marLeft w:val="0"/>
          <w:marRight w:val="0"/>
          <w:marTop w:val="0"/>
          <w:marBottom w:val="0"/>
          <w:divBdr>
            <w:top w:val="none" w:sz="0" w:space="0" w:color="auto"/>
            <w:left w:val="none" w:sz="0" w:space="0" w:color="auto"/>
            <w:bottom w:val="none" w:sz="0" w:space="0" w:color="auto"/>
            <w:right w:val="none" w:sz="0" w:space="0" w:color="auto"/>
          </w:divBdr>
        </w:div>
        <w:div w:id="1793743259">
          <w:marLeft w:val="0"/>
          <w:marRight w:val="0"/>
          <w:marTop w:val="0"/>
          <w:marBottom w:val="0"/>
          <w:divBdr>
            <w:top w:val="none" w:sz="0" w:space="0" w:color="auto"/>
            <w:left w:val="none" w:sz="0" w:space="0" w:color="auto"/>
            <w:bottom w:val="none" w:sz="0" w:space="0" w:color="auto"/>
            <w:right w:val="none" w:sz="0" w:space="0" w:color="auto"/>
          </w:divBdr>
        </w:div>
        <w:div w:id="1037436014">
          <w:marLeft w:val="0"/>
          <w:marRight w:val="0"/>
          <w:marTop w:val="0"/>
          <w:marBottom w:val="0"/>
          <w:divBdr>
            <w:top w:val="none" w:sz="0" w:space="0" w:color="auto"/>
            <w:left w:val="none" w:sz="0" w:space="0" w:color="auto"/>
            <w:bottom w:val="none" w:sz="0" w:space="0" w:color="auto"/>
            <w:right w:val="none" w:sz="0" w:space="0" w:color="auto"/>
          </w:divBdr>
        </w:div>
        <w:div w:id="2140411338">
          <w:marLeft w:val="0"/>
          <w:marRight w:val="0"/>
          <w:marTop w:val="0"/>
          <w:marBottom w:val="0"/>
          <w:divBdr>
            <w:top w:val="none" w:sz="0" w:space="0" w:color="auto"/>
            <w:left w:val="none" w:sz="0" w:space="0" w:color="auto"/>
            <w:bottom w:val="none" w:sz="0" w:space="0" w:color="auto"/>
            <w:right w:val="none" w:sz="0" w:space="0" w:color="auto"/>
          </w:divBdr>
        </w:div>
        <w:div w:id="1825775545">
          <w:marLeft w:val="0"/>
          <w:marRight w:val="0"/>
          <w:marTop w:val="0"/>
          <w:marBottom w:val="0"/>
          <w:divBdr>
            <w:top w:val="none" w:sz="0" w:space="0" w:color="auto"/>
            <w:left w:val="none" w:sz="0" w:space="0" w:color="auto"/>
            <w:bottom w:val="none" w:sz="0" w:space="0" w:color="auto"/>
            <w:right w:val="none" w:sz="0" w:space="0" w:color="auto"/>
          </w:divBdr>
        </w:div>
        <w:div w:id="115804961">
          <w:marLeft w:val="0"/>
          <w:marRight w:val="0"/>
          <w:marTop w:val="0"/>
          <w:marBottom w:val="0"/>
          <w:divBdr>
            <w:top w:val="none" w:sz="0" w:space="0" w:color="auto"/>
            <w:left w:val="none" w:sz="0" w:space="0" w:color="auto"/>
            <w:bottom w:val="none" w:sz="0" w:space="0" w:color="auto"/>
            <w:right w:val="none" w:sz="0" w:space="0" w:color="auto"/>
          </w:divBdr>
        </w:div>
        <w:div w:id="27218497">
          <w:marLeft w:val="0"/>
          <w:marRight w:val="0"/>
          <w:marTop w:val="0"/>
          <w:marBottom w:val="0"/>
          <w:divBdr>
            <w:top w:val="none" w:sz="0" w:space="0" w:color="auto"/>
            <w:left w:val="none" w:sz="0" w:space="0" w:color="auto"/>
            <w:bottom w:val="none" w:sz="0" w:space="0" w:color="auto"/>
            <w:right w:val="none" w:sz="0" w:space="0" w:color="auto"/>
          </w:divBdr>
        </w:div>
        <w:div w:id="776221595">
          <w:marLeft w:val="0"/>
          <w:marRight w:val="0"/>
          <w:marTop w:val="0"/>
          <w:marBottom w:val="0"/>
          <w:divBdr>
            <w:top w:val="none" w:sz="0" w:space="0" w:color="auto"/>
            <w:left w:val="none" w:sz="0" w:space="0" w:color="auto"/>
            <w:bottom w:val="none" w:sz="0" w:space="0" w:color="auto"/>
            <w:right w:val="none" w:sz="0" w:space="0" w:color="auto"/>
          </w:divBdr>
        </w:div>
        <w:div w:id="1362049045">
          <w:marLeft w:val="0"/>
          <w:marRight w:val="0"/>
          <w:marTop w:val="0"/>
          <w:marBottom w:val="0"/>
          <w:divBdr>
            <w:top w:val="none" w:sz="0" w:space="0" w:color="auto"/>
            <w:left w:val="none" w:sz="0" w:space="0" w:color="auto"/>
            <w:bottom w:val="none" w:sz="0" w:space="0" w:color="auto"/>
            <w:right w:val="none" w:sz="0" w:space="0" w:color="auto"/>
          </w:divBdr>
        </w:div>
        <w:div w:id="187373644">
          <w:marLeft w:val="0"/>
          <w:marRight w:val="0"/>
          <w:marTop w:val="0"/>
          <w:marBottom w:val="0"/>
          <w:divBdr>
            <w:top w:val="none" w:sz="0" w:space="0" w:color="auto"/>
            <w:left w:val="none" w:sz="0" w:space="0" w:color="auto"/>
            <w:bottom w:val="none" w:sz="0" w:space="0" w:color="auto"/>
            <w:right w:val="none" w:sz="0" w:space="0" w:color="auto"/>
          </w:divBdr>
        </w:div>
        <w:div w:id="683894839">
          <w:marLeft w:val="0"/>
          <w:marRight w:val="0"/>
          <w:marTop w:val="0"/>
          <w:marBottom w:val="0"/>
          <w:divBdr>
            <w:top w:val="none" w:sz="0" w:space="0" w:color="auto"/>
            <w:left w:val="none" w:sz="0" w:space="0" w:color="auto"/>
            <w:bottom w:val="none" w:sz="0" w:space="0" w:color="auto"/>
            <w:right w:val="none" w:sz="0" w:space="0" w:color="auto"/>
          </w:divBdr>
        </w:div>
        <w:div w:id="730928701">
          <w:marLeft w:val="0"/>
          <w:marRight w:val="0"/>
          <w:marTop w:val="0"/>
          <w:marBottom w:val="0"/>
          <w:divBdr>
            <w:top w:val="none" w:sz="0" w:space="0" w:color="auto"/>
            <w:left w:val="none" w:sz="0" w:space="0" w:color="auto"/>
            <w:bottom w:val="none" w:sz="0" w:space="0" w:color="auto"/>
            <w:right w:val="none" w:sz="0" w:space="0" w:color="auto"/>
          </w:divBdr>
        </w:div>
        <w:div w:id="1008101072">
          <w:marLeft w:val="0"/>
          <w:marRight w:val="0"/>
          <w:marTop w:val="0"/>
          <w:marBottom w:val="0"/>
          <w:divBdr>
            <w:top w:val="none" w:sz="0" w:space="0" w:color="auto"/>
            <w:left w:val="none" w:sz="0" w:space="0" w:color="auto"/>
            <w:bottom w:val="none" w:sz="0" w:space="0" w:color="auto"/>
            <w:right w:val="none" w:sz="0" w:space="0" w:color="auto"/>
          </w:divBdr>
        </w:div>
        <w:div w:id="1416584790">
          <w:marLeft w:val="0"/>
          <w:marRight w:val="0"/>
          <w:marTop w:val="0"/>
          <w:marBottom w:val="0"/>
          <w:divBdr>
            <w:top w:val="none" w:sz="0" w:space="0" w:color="auto"/>
            <w:left w:val="none" w:sz="0" w:space="0" w:color="auto"/>
            <w:bottom w:val="none" w:sz="0" w:space="0" w:color="auto"/>
            <w:right w:val="none" w:sz="0" w:space="0" w:color="auto"/>
          </w:divBdr>
        </w:div>
        <w:div w:id="660811024">
          <w:marLeft w:val="0"/>
          <w:marRight w:val="0"/>
          <w:marTop w:val="0"/>
          <w:marBottom w:val="0"/>
          <w:divBdr>
            <w:top w:val="none" w:sz="0" w:space="0" w:color="auto"/>
            <w:left w:val="none" w:sz="0" w:space="0" w:color="auto"/>
            <w:bottom w:val="none" w:sz="0" w:space="0" w:color="auto"/>
            <w:right w:val="none" w:sz="0" w:space="0" w:color="auto"/>
          </w:divBdr>
        </w:div>
        <w:div w:id="1496385312">
          <w:marLeft w:val="0"/>
          <w:marRight w:val="0"/>
          <w:marTop w:val="0"/>
          <w:marBottom w:val="0"/>
          <w:divBdr>
            <w:top w:val="none" w:sz="0" w:space="0" w:color="auto"/>
            <w:left w:val="none" w:sz="0" w:space="0" w:color="auto"/>
            <w:bottom w:val="none" w:sz="0" w:space="0" w:color="auto"/>
            <w:right w:val="none" w:sz="0" w:space="0" w:color="auto"/>
          </w:divBdr>
        </w:div>
      </w:divsChild>
    </w:div>
    <w:div w:id="19270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7262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mfells</dc:creator>
  <cp:lastModifiedBy>mdobrucki</cp:lastModifiedBy>
  <cp:revision>4</cp:revision>
  <dcterms:created xsi:type="dcterms:W3CDTF">2017-01-17T13:43:00Z</dcterms:created>
  <dcterms:modified xsi:type="dcterms:W3CDTF">2017-02-02T12:35:00Z</dcterms:modified>
</cp:coreProperties>
</file>