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C6" w:rsidRDefault="004A0275">
      <w:pPr>
        <w:keepNext/>
        <w:widowControl/>
        <w:tabs>
          <w:tab w:val="left" w:pos="0"/>
        </w:tabs>
        <w:suppressAutoHyphens/>
        <w:spacing w:before="360" w:after="120" w:line="360" w:lineRule="auto"/>
        <w:ind w:left="432" w:hanging="432"/>
        <w:textAlignment w:val="auto"/>
        <w:outlineLvl w:val="0"/>
        <w:rPr>
          <w:rFonts w:cs="Arial"/>
          <w:b/>
          <w:bCs/>
          <w:sz w:val="28"/>
          <w:szCs w:val="32"/>
          <w:lang w:eastAsia="zh-CN"/>
        </w:rPr>
      </w:pPr>
      <w:bookmarkStart w:id="0" w:name="_GoBack"/>
      <w:bookmarkEnd w:id="0"/>
      <w:r>
        <w:rPr>
          <w:rFonts w:cs="Arial"/>
          <w:b/>
          <w:bCs/>
          <w:sz w:val="28"/>
          <w:szCs w:val="32"/>
          <w:lang w:eastAsia="zh-CN"/>
        </w:rPr>
        <w:t>OPIS PRZEDMIOTU ZAMÓWIENIA</w:t>
      </w:r>
    </w:p>
    <w:p w:rsidR="00F164C6" w:rsidRDefault="004A0275">
      <w:pPr>
        <w:widowControl/>
        <w:suppressAutoHyphens/>
        <w:spacing w:before="240" w:line="200" w:lineRule="atLeast"/>
        <w:textAlignment w:val="auto"/>
        <w:rPr>
          <w:b/>
          <w:szCs w:val="24"/>
          <w:lang w:eastAsia="zh-CN"/>
        </w:rPr>
      </w:pPr>
      <w:r>
        <w:rPr>
          <w:szCs w:val="24"/>
          <w:lang w:eastAsia="zh-CN"/>
        </w:rPr>
        <w:t xml:space="preserve">Przedmiotem zamówienia jest wybór </w:t>
      </w:r>
      <w:r>
        <w:rPr>
          <w:b/>
          <w:szCs w:val="24"/>
          <w:lang w:eastAsia="zh-CN"/>
        </w:rPr>
        <w:t xml:space="preserve">6 ekspertów </w:t>
      </w:r>
      <w:r>
        <w:rPr>
          <w:szCs w:val="24"/>
          <w:lang w:eastAsia="zh-CN"/>
        </w:rPr>
        <w:t xml:space="preserve">do przeprowadzenia </w:t>
      </w:r>
      <w:r>
        <w:rPr>
          <w:b/>
          <w:szCs w:val="24"/>
          <w:lang w:eastAsia="zh-CN"/>
        </w:rPr>
        <w:t>oceny jakościowej</w:t>
      </w:r>
      <w:r>
        <w:rPr>
          <w:szCs w:val="24"/>
          <w:lang w:eastAsia="zh-CN"/>
        </w:rPr>
        <w:t xml:space="preserve"> </w:t>
      </w:r>
      <w:r>
        <w:rPr>
          <w:b/>
          <w:szCs w:val="24"/>
          <w:lang w:eastAsia="zh-CN"/>
        </w:rPr>
        <w:t>raportów końcowych złożonych przez beneficjentów programu</w:t>
      </w:r>
      <w:r>
        <w:rPr>
          <w:szCs w:val="24"/>
          <w:lang w:eastAsia="zh-CN"/>
        </w:rPr>
        <w:t xml:space="preserve"> </w:t>
      </w:r>
      <w:r>
        <w:rPr>
          <w:b/>
          <w:szCs w:val="24"/>
          <w:lang w:eastAsia="zh-CN"/>
        </w:rPr>
        <w:t>Erasmus+ sektor:</w:t>
      </w:r>
      <w:r>
        <w:rPr>
          <w:szCs w:val="24"/>
          <w:lang w:eastAsia="zh-CN"/>
        </w:rPr>
        <w:t xml:space="preserve"> </w:t>
      </w:r>
      <w:r>
        <w:rPr>
          <w:b/>
          <w:szCs w:val="24"/>
          <w:lang w:eastAsia="zh-CN"/>
        </w:rPr>
        <w:t xml:space="preserve">Kształcenie i szkolenie zawodowe – Akcja 2 Partnerstwa Strategiczne. </w:t>
      </w:r>
    </w:p>
    <w:p w:rsidR="00F164C6" w:rsidRDefault="004A0275">
      <w:pPr>
        <w:widowControl/>
        <w:suppressAutoHyphens/>
        <w:spacing w:line="200" w:lineRule="atLeast"/>
        <w:textAlignment w:val="auto"/>
        <w:rPr>
          <w:szCs w:val="24"/>
          <w:lang w:eastAsia="zh-CN"/>
        </w:rPr>
      </w:pPr>
      <w:r>
        <w:rPr>
          <w:szCs w:val="24"/>
          <w:lang w:eastAsia="zh-CN"/>
        </w:rPr>
        <w:t xml:space="preserve">Przez ocenę jakościową raportu końcowego Zamawiający rozumie: </w:t>
      </w:r>
    </w:p>
    <w:p w:rsidR="00F164C6" w:rsidRDefault="004A0275">
      <w:pPr>
        <w:widowControl/>
        <w:numPr>
          <w:ilvl w:val="0"/>
          <w:numId w:val="1"/>
        </w:numPr>
        <w:suppressAutoHyphens/>
        <w:spacing w:before="0" w:line="200" w:lineRule="atLeast"/>
        <w:textAlignment w:val="auto"/>
        <w:rPr>
          <w:szCs w:val="24"/>
          <w:lang w:eastAsia="zh-CN"/>
        </w:rPr>
      </w:pPr>
      <w:r>
        <w:rPr>
          <w:szCs w:val="24"/>
          <w:lang w:eastAsia="zh-CN"/>
        </w:rPr>
        <w:t xml:space="preserve">wydanie pisemnej opinii zawierającej ocenę stopnia realizacji projektu przez beneficjenta w porównaniu do zakresu i harmonogramu działań zaplanowanych w umowie finansowej i zasad określonych w „Przewodniku po programie Erasmus+”, „Wytycznych KE do oceny raportów końcowych” oraz załącznikach do umowy finansowej, </w:t>
      </w:r>
    </w:p>
    <w:p w:rsidR="00F164C6" w:rsidRDefault="004A0275">
      <w:pPr>
        <w:widowControl/>
        <w:numPr>
          <w:ilvl w:val="0"/>
          <w:numId w:val="1"/>
        </w:numPr>
        <w:suppressAutoHyphens/>
        <w:spacing w:before="0" w:line="200" w:lineRule="atLeast"/>
        <w:textAlignment w:val="auto"/>
        <w:rPr>
          <w:szCs w:val="24"/>
          <w:lang w:eastAsia="zh-CN"/>
        </w:rPr>
      </w:pPr>
      <w:r>
        <w:rPr>
          <w:szCs w:val="24"/>
          <w:lang w:eastAsia="zh-CN"/>
        </w:rPr>
        <w:t>wydanie opinii zawierającej ocenę jakości rezultatów opracowanych przez beneficjentów programu opisanych w raportach końcowych i udostępnionych na platformie Platformie Rezultatów Programu Erasmus+ w oparciu o zasady określone w „Przewodniku po programie Erasmus+”, „Wytycznych KE do oceny raportów końcowych” oraz załącznikach do umowy finansowej,</w:t>
      </w:r>
    </w:p>
    <w:p w:rsidR="00F164C6" w:rsidRDefault="004A0275">
      <w:pPr>
        <w:widowControl/>
        <w:numPr>
          <w:ilvl w:val="0"/>
          <w:numId w:val="1"/>
        </w:numPr>
        <w:suppressAutoHyphens/>
        <w:spacing w:before="0" w:line="200" w:lineRule="atLeast"/>
        <w:textAlignment w:val="auto"/>
        <w:rPr>
          <w:szCs w:val="24"/>
          <w:lang w:eastAsia="zh-CN"/>
        </w:rPr>
      </w:pPr>
      <w:r>
        <w:rPr>
          <w:szCs w:val="24"/>
          <w:lang w:eastAsia="zh-CN"/>
        </w:rPr>
        <w:t>przyznanie ocenianemu wnioskowi odpowiedniej liczby punktów (ze 100 możliwych) odzwierciedlającej jego jakość w odniesieniu do kryteriów oceny,</w:t>
      </w:r>
    </w:p>
    <w:p w:rsidR="00F164C6" w:rsidRDefault="004A0275">
      <w:pPr>
        <w:widowControl/>
        <w:numPr>
          <w:ilvl w:val="0"/>
          <w:numId w:val="1"/>
        </w:numPr>
        <w:suppressAutoHyphens/>
        <w:spacing w:before="0" w:line="200" w:lineRule="atLeast"/>
        <w:textAlignment w:val="auto"/>
        <w:rPr>
          <w:szCs w:val="24"/>
          <w:lang w:eastAsia="zh-CN"/>
        </w:rPr>
      </w:pPr>
      <w:r>
        <w:rPr>
          <w:szCs w:val="24"/>
          <w:lang w:eastAsia="zh-CN"/>
        </w:rPr>
        <w:t xml:space="preserve">wypełnienie formularza oceny jakościowej w systemie Online Expert Evaluation Tool (OEET). </w:t>
      </w:r>
    </w:p>
    <w:p w:rsidR="00F164C6" w:rsidRDefault="00F164C6">
      <w:pPr>
        <w:widowControl/>
        <w:suppressAutoHyphens/>
        <w:spacing w:before="0" w:line="200" w:lineRule="atLeast"/>
        <w:textAlignment w:val="auto"/>
        <w:rPr>
          <w:b/>
          <w:bCs/>
          <w:szCs w:val="24"/>
          <w:lang w:eastAsia="zh-CN"/>
        </w:rPr>
      </w:pPr>
    </w:p>
    <w:p w:rsidR="00F164C6" w:rsidRDefault="004A0275">
      <w:pPr>
        <w:widowControl/>
        <w:suppressAutoHyphens/>
        <w:spacing w:before="0" w:line="200" w:lineRule="atLeast"/>
        <w:textAlignment w:val="auto"/>
        <w:rPr>
          <w:szCs w:val="24"/>
          <w:lang w:eastAsia="zh-CN"/>
        </w:rPr>
      </w:pPr>
      <w:r>
        <w:rPr>
          <w:szCs w:val="24"/>
          <w:lang w:eastAsia="zh-CN"/>
        </w:rPr>
        <w:t>Wykonawca zobowiązany jest do gotowości realizacji zamówienia w szczególności w terminach wynikających z harmonogramu składania raportów końcowych, tj.:</w:t>
      </w:r>
    </w:p>
    <w:p w:rsidR="00F164C6" w:rsidRDefault="004A0275">
      <w:pPr>
        <w:widowControl/>
        <w:numPr>
          <w:ilvl w:val="0"/>
          <w:numId w:val="4"/>
        </w:numPr>
        <w:suppressAutoHyphens/>
        <w:spacing w:before="0" w:line="200" w:lineRule="atLeast"/>
        <w:textAlignment w:val="auto"/>
        <w:rPr>
          <w:szCs w:val="24"/>
          <w:lang w:eastAsia="zh-CN"/>
        </w:rPr>
      </w:pPr>
      <w:bookmarkStart w:id="1" w:name="result_box81"/>
      <w:bookmarkStart w:id="2" w:name="result_box51"/>
      <w:bookmarkStart w:id="3" w:name="result_box21"/>
      <w:bookmarkEnd w:id="1"/>
      <w:bookmarkEnd w:id="2"/>
      <w:bookmarkEnd w:id="3"/>
      <w:r>
        <w:rPr>
          <w:szCs w:val="24"/>
          <w:lang w:eastAsia="zh-CN"/>
        </w:rPr>
        <w:t>30.10.2016</w:t>
      </w:r>
    </w:p>
    <w:p w:rsidR="00F164C6" w:rsidRDefault="004A0275">
      <w:pPr>
        <w:widowControl/>
        <w:numPr>
          <w:ilvl w:val="0"/>
          <w:numId w:val="4"/>
        </w:numPr>
        <w:suppressAutoHyphens/>
        <w:spacing w:before="0" w:line="200" w:lineRule="atLeast"/>
        <w:textAlignment w:val="auto"/>
        <w:rPr>
          <w:szCs w:val="24"/>
          <w:lang w:eastAsia="zh-CN"/>
        </w:rPr>
      </w:pPr>
      <w:r>
        <w:rPr>
          <w:szCs w:val="24"/>
          <w:lang w:eastAsia="zh-CN"/>
        </w:rPr>
        <w:t>29.11.2016</w:t>
      </w:r>
    </w:p>
    <w:p w:rsidR="00F164C6" w:rsidRDefault="004A0275">
      <w:pPr>
        <w:widowControl/>
        <w:numPr>
          <w:ilvl w:val="0"/>
          <w:numId w:val="4"/>
        </w:numPr>
        <w:suppressAutoHyphens/>
        <w:spacing w:before="0" w:line="200" w:lineRule="atLeast"/>
        <w:textAlignment w:val="auto"/>
        <w:rPr>
          <w:szCs w:val="24"/>
          <w:lang w:eastAsia="zh-CN"/>
        </w:rPr>
      </w:pPr>
      <w:r>
        <w:rPr>
          <w:szCs w:val="24"/>
          <w:lang w:eastAsia="zh-CN"/>
        </w:rPr>
        <w:t>30.12.2016</w:t>
      </w:r>
    </w:p>
    <w:p w:rsidR="00F164C6" w:rsidRDefault="004A0275">
      <w:pPr>
        <w:widowControl/>
        <w:suppressAutoHyphens/>
        <w:spacing w:after="120" w:line="200" w:lineRule="atLeast"/>
        <w:textAlignment w:val="auto"/>
        <w:rPr>
          <w:b/>
          <w:bCs/>
          <w:szCs w:val="24"/>
          <w:lang w:eastAsia="zh-CN"/>
        </w:rPr>
      </w:pPr>
      <w:r>
        <w:rPr>
          <w:b/>
          <w:bCs/>
          <w:szCs w:val="24"/>
          <w:lang w:eastAsia="zh-CN"/>
        </w:rPr>
        <w:t>Informacje na temat oceny jakościowej raportów końcowych złożonych do programu Erasmus+ sektor Kształcenie i szkolenie zawodowe Akcja 2 Partnerstwa Strategiczne.</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Ocena raportu końcowego następuje po zakończeniu realizacji projektu.</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Ocena raportu końcowego będzie dokonana w systemie on-line OEET (Online Expert Evaluation Tool), administrowanym przez Komisję Europejską, poza siedzibą Zamawiającego, w ciągu maksymalnie 14 dni kalendarzowych od dnia udostępnienia raportu końcowego do oceny chyba, że Zamawiający wyrazi zgodę na przedłużenie tego terminu.</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 xml:space="preserve">Ocena jakościowa raportu jest podstawą do uznania poniesionych w projekcie wydatków za kwalifikowalne i ustalenia ostatecznej wysokości dofinansowania projektu. </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 xml:space="preserve">Raporty złożone przez beneficjentów programu Erasmus+ oraz formularze oceny jakościowej będą dostępne w systemie on-line OEET. Rezultaty projektu stanowiące załączniki do raportu końcowego zostaną udostępnione ekspertowi w formie elektronicznej. Zamawiający nie udostępnia raportów końcowych ani rezultatów projektów w wersji papierowej z wyjątkiem sytuacji, kiedy rezultaty zostały zaplanowane jedynie w wersji papierowej. </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 xml:space="preserve">Standardowe formularze oceny jakościowej są ustalane przez Komisję Europejską i stosowane we wszystkich krajach programu w celu zapewnienia spójnej oceny wniosków. </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lastRenderedPageBreak/>
        <w:t>Raporty mogą być sporządzone przez beneficjentów programu w języku polskim lub angielskim. Zamawiający wymaga, aby formularz oceny jakościowej raportu został wypełniony przez eksperta w języku polskim.</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 xml:space="preserve">System on-line OEET (interfejs, menu, funkcje nawigacyjne) będzie dostępny w języku angielskim. Przed przystąpieniem do przeprowadzenia oceny, Zamawiający zapewni ekspertom niezbędne dokumenty źródłowe do oceny jakościowej oraz zapewni dostęp do systemu online (OEET). Dostęp do systemu on-line będzie możliwy po wpisaniu indywidualnego loginu i hasła eksperta. Zamawiający zobowiązuje się do zaprezentowania systemu on-line OEET oraz wyjaśnienia aspektów technicznych związanych z wykorzystaniem narzędzia przed rozpoczęciem procesu oceny wniosków. </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 xml:space="preserve">Zamawiający wymaga, aby eksperci oceniający raporty uczestniczyli w szkoleniu zorganizowanym przez Zamawiającego na temat zasad oceny raportów końcowych oraz kryteriów jakościowych oraz aspektów technicznych związanych z wykorzystaniem systemu online do oceny raportów. </w:t>
      </w:r>
    </w:p>
    <w:p w:rsidR="00F164C6" w:rsidRDefault="004A0275">
      <w:pPr>
        <w:widowControl/>
        <w:numPr>
          <w:ilvl w:val="0"/>
          <w:numId w:val="2"/>
        </w:numPr>
        <w:suppressAutoHyphens/>
        <w:spacing w:before="0" w:line="200" w:lineRule="atLeast"/>
        <w:textAlignment w:val="auto"/>
      </w:pPr>
      <w:r>
        <w:rPr>
          <w:szCs w:val="24"/>
          <w:lang w:eastAsia="zh-CN"/>
        </w:rPr>
        <w:t xml:space="preserve">Przewidywany termin szkolenia zorganizowanego przez Zamawiającego to październik 2016 r. Szkolenie odbędzie się w Warszawie. Zamawiający poinformuje ekspertów z wyprzedzeniem, poprzez wysłanie e-maila na adres poczty elektronicznej eksperta, o programie szkolenia, miejscu i terminie. Udział w szkoleniach jest obowiązkowy. </w:t>
      </w:r>
    </w:p>
    <w:p w:rsidR="00F164C6" w:rsidRDefault="004A0275">
      <w:pPr>
        <w:widowControl/>
        <w:numPr>
          <w:ilvl w:val="0"/>
          <w:numId w:val="2"/>
        </w:numPr>
        <w:suppressAutoHyphens/>
        <w:spacing w:before="0" w:line="200" w:lineRule="atLeast"/>
        <w:textAlignment w:val="auto"/>
        <w:rPr>
          <w:szCs w:val="24"/>
          <w:lang w:eastAsia="zh-CN"/>
        </w:rPr>
      </w:pPr>
      <w:r>
        <w:rPr>
          <w:szCs w:val="24"/>
          <w:lang w:eastAsia="zh-CN"/>
        </w:rPr>
        <w:t>Zamawiający przekaże ekspertom niezbędne informacje oraz materiały dotyczące zasad oceny raportów końcowych na szkoleniu, o którym mowa powyżej.</w:t>
      </w:r>
    </w:p>
    <w:p w:rsidR="00F164C6" w:rsidRDefault="004A0275">
      <w:pPr>
        <w:keepNext/>
        <w:widowControl/>
        <w:tabs>
          <w:tab w:val="left" w:pos="0"/>
        </w:tabs>
        <w:suppressAutoHyphens/>
        <w:spacing w:before="360" w:after="180"/>
        <w:ind w:left="576" w:hanging="576"/>
        <w:textAlignment w:val="auto"/>
        <w:outlineLvl w:val="1"/>
        <w:rPr>
          <w:rFonts w:cs="Arial"/>
          <w:b/>
          <w:bCs/>
          <w:iCs/>
          <w:szCs w:val="28"/>
          <w:lang w:eastAsia="zh-CN"/>
        </w:rPr>
      </w:pPr>
      <w:r>
        <w:rPr>
          <w:rFonts w:cs="Arial"/>
          <w:b/>
          <w:bCs/>
          <w:iCs/>
          <w:szCs w:val="28"/>
          <w:lang w:eastAsia="zh-CN"/>
        </w:rPr>
        <w:t>Zakres obowiązków i wymagania wobec Eksperta oceniającego raporty końcowe:</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Ocena raportu końcowego przez eksperta będzie polegała na następujących czynnościach: ekspert będzie zobowiązany do sformułowania komentarza dla każdego kryterium oceny, w którym to komentarzu odniesie się do wszystkich elementów analizy opisanych w raporcie beneficjenta. Komentarze sformułowane dla każdego kryterium oceny muszą odzwierciedlać i uzasadniać ocenę punktową przyznaną przez eksperta (ekspert musi zapewnić zgodność oceny punktowej z komentarzem na temat spełnienia kryterium oceny). Na zakończenie oceny ekspert sporządzi ogólną opinię na temat raportu jako całości. Opinia na temat spełnienia kryteriów jakościowych raportu oraz podsumowanie oceny całościowej muszą być sporządzone w języku polskim. Dodatkowo ekspert zobowiązuje się do przygotowania ogólnej opinii/podsumowania na temat jakości raportu i zrealizowanego projektu także w języku angielskim.</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Zamawiający informuje, że ocena jakościowa raportów beneficjentów jest istotnym elementem w ustaleniu wysokości płatności końcowej w ramach przyznanego  dofinansowania. W oparciu o opinię, przyznaną punktację i komentarze ekspertów Narodowa Agencja przekazuje informację zwrotną beneficjentom na temat jakości ich projektów oraz ustala ostateczną wysokość dofinansowania.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Eksperci są zobowiązani do przeprowadzenia oceny zgodnie z wymogami programu oraz instrukcjami udzielonymi przez Zamawiającego.</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Eksperci są zobowiązani do przeprowadzenia oceny jakościowej w terminach określonych przez Zamawiającego. Szczegółowy harmonogram oceny jakościowej Zamawiający przedstawi przed rozpoczęciem procesu oceny.</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Zamawiający wymaga, aby ekspert dokładnie przeczytał cały raport końcowy wraz z załącznikami, wniosek o dofinansowanie wraz ze zmianami oraz umowę finansową wraz z załącznikami przed wypełnieniem formularza oceny jakości. </w:t>
      </w:r>
    </w:p>
    <w:p w:rsidR="00F164C6" w:rsidRDefault="004A0275">
      <w:pPr>
        <w:widowControl/>
        <w:numPr>
          <w:ilvl w:val="0"/>
          <w:numId w:val="3"/>
        </w:numPr>
        <w:suppressAutoHyphens/>
        <w:spacing w:before="0" w:line="200" w:lineRule="atLeast"/>
        <w:textAlignment w:val="auto"/>
        <w:rPr>
          <w:bCs/>
          <w:szCs w:val="24"/>
          <w:lang w:eastAsia="zh-CN"/>
        </w:rPr>
      </w:pPr>
      <w:r>
        <w:rPr>
          <w:szCs w:val="24"/>
          <w:lang w:eastAsia="zh-CN"/>
        </w:rPr>
        <w:lastRenderedPageBreak/>
        <w:t>Przedmiotem oceny jakościowej raportu będzie również ocena rezultatów/produktów stworzonych w ramach konsorcjum. Pojęcie rezultat/produkt może oznaczać np. narzędzie, metodę, metodologię, materiały edukacyjne, programy nauczania, moduły szkoleniowe, kursy e-learning, platformy internetowe itp. Opis rezultatów, jakie powinny zostać wypracowane zawarty jest we wniosku o dofinansowanie.</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przyjmuje do wiadomości i stosowania, iż uczestniczy w zadaniu wymagającym pracy zgodnej z najwyższymi standardami jakości oraz zobowiązuje się do przestrzegania wszelkich wytycznych, zaleceń i obowiązków formułowanych przez Komisję Europejską i/lub Zamawiającego.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wykonując powierzone zadania, pracuje jako osoba niezależna, nie reprezentująca jakiejkolwiek instytucji czy organizacji.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w:t>
      </w:r>
      <w:r>
        <w:rPr>
          <w:bCs/>
          <w:szCs w:val="24"/>
          <w:lang w:eastAsia="zh-CN"/>
        </w:rPr>
        <w:t>nie</w:t>
      </w:r>
      <w:r>
        <w:rPr>
          <w:szCs w:val="24"/>
          <w:lang w:eastAsia="zh-CN"/>
        </w:rPr>
        <w:t xml:space="preserve"> może być związany z beneficjentem programu Erasmus+ stosunkiem osobistym lub służbowym takiego rodzaju, który mógłby wywołać wątpliwości co do bezstronności przeprowadzonych czynności.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Przed przystąpieniem do realizacji Zamówienia (tj. przed przekazaniem przez Zamawiającego jakiejkolwiek dokumentacji projektowej/programowej) eksperci są zobowiązani do podpisania </w:t>
      </w:r>
      <w:r>
        <w:rPr>
          <w:b/>
          <w:i/>
          <w:szCs w:val="24"/>
          <w:lang w:eastAsia="zh-CN"/>
        </w:rPr>
        <w:t>Deklaracji w sprawie zapobiegania konfliktom interesów i ujawniania informacji</w:t>
      </w:r>
      <w:r>
        <w:rPr>
          <w:szCs w:val="24"/>
          <w:lang w:eastAsia="zh-CN"/>
        </w:rPr>
        <w:t xml:space="preserve"> zgodnie z wzorem stanowiącym </w:t>
      </w:r>
      <w:r>
        <w:rPr>
          <w:b/>
          <w:bCs/>
          <w:szCs w:val="24"/>
          <w:lang w:eastAsia="zh-CN"/>
        </w:rPr>
        <w:t>Załącznik nr 4 do zapytania ofertowego</w:t>
      </w:r>
      <w:r>
        <w:rPr>
          <w:szCs w:val="24"/>
          <w:lang w:eastAsia="zh-CN"/>
        </w:rPr>
        <w:t xml:space="preserve">.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jest zobowiązany do przestrzegania  poufności informacji uzyskanej podczas całego procesu oceny raportów w trakcie trwania tego procesu, jak i po jego zakończeniu. Ekspert nie może być osobiście zaangażowany w działania, propozycje lub projekty, do których odnoszą się przydzielone mu zadania. Jeżeli taka sytuacja zaistniałaby, ekspert będzie zobowiązany do bezzwłocznego poinformowania o tym Zamawiającego. Ekspert nie może być zatrudniony w organizacji składającej raport oraz w organizacjach wchodzących w skład grupy partnerów.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nie może kontaktować się z autorami raportów. Ekspert powinien wykonywać powierzone mu zadania jedynie w oparciu o udostępnioną przez Zamawiającego dokumentację.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jest zobowiązany do zachowania tajności wszelkiej dokumentacji projektowej i programowej przekazanej mu do oceny przez Zamawiającego.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Ekspert jest zobowiązany do bezpiecznego przechowywania powierzonej mu dokumentacji oraz zapobiegania dostępu do systemu on-line i otrzymanej dokumentacji do oceny osobom nieupoważnionym.</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Ekspert jest zobowiązany do utrzymywania przez cały okres wykonywania Zamówienia stałego kontaktu z Zamawiającym, a w szczególności z osobami wskazanymi przez Zamawiającego w celu należytego i terminowego wykonania Zamówienia.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Ekspert jest zobowiązany do niezwłocznego reagowania na wszelkie zastrzeżenia zgłaszane przez Zamawiającego w związku z realizacją oceny jakościowej, a w szczególności na zastrzeżenia Zamawiającego dotyczące: niedostatecznej jakości przedstawionej oceny, niezgodności przedstawionej oceny punktowej z komentarzami, wykonywania oceny w sposób niezgodny z harmonogramem, naruszenia przez eksperta obowiązku zachowania bezstronności i niezależności, naruszenia przez eksperta zasad i obowiązków wynikających z SIWZ, umowy i z dokumentów programu Erasmus+.</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W wypadku, gdy w toku wykonywania Zamówienia przedstawiciele Zamawiającego stwierdzą błędy w </w:t>
      </w:r>
      <w:r>
        <w:rPr>
          <w:i/>
          <w:szCs w:val="24"/>
          <w:lang w:eastAsia="zh-CN"/>
        </w:rPr>
        <w:t>formularzu oceny jakościowej raportu</w:t>
      </w:r>
      <w:r>
        <w:rPr>
          <w:szCs w:val="24"/>
          <w:lang w:eastAsia="zh-CN"/>
        </w:rPr>
        <w:t xml:space="preserve">, albo gdy stwierdzą, że ocena eksperta zawarta w </w:t>
      </w:r>
      <w:r>
        <w:rPr>
          <w:i/>
          <w:szCs w:val="24"/>
          <w:lang w:eastAsia="zh-CN"/>
        </w:rPr>
        <w:t xml:space="preserve">formularzu oceny jakościowej raportu </w:t>
      </w:r>
      <w:r>
        <w:rPr>
          <w:szCs w:val="24"/>
          <w:lang w:eastAsia="zh-CN"/>
        </w:rPr>
        <w:t xml:space="preserve">jest dokonana w sposób wadliwy lub niepełny, albo gdy ocena nie zawiera należytego uzasadnienia </w:t>
      </w:r>
      <w:r>
        <w:rPr>
          <w:szCs w:val="24"/>
          <w:lang w:eastAsia="zh-CN"/>
        </w:rPr>
        <w:lastRenderedPageBreak/>
        <w:t xml:space="preserve">stanowiska eksperta, w takich wypadkach Zamawiający wezwie eksperta za pośrednictwem poczty elektronicznej lub telefonicznie do dokonania korekt lub poprawy zakwestionowanej oceny w wyznaczonym terminie i przedłożenia Zamawiającemu </w:t>
      </w:r>
      <w:r>
        <w:rPr>
          <w:i/>
          <w:szCs w:val="24"/>
          <w:lang w:eastAsia="zh-CN"/>
        </w:rPr>
        <w:t xml:space="preserve">nowego formularza oceny jakościowej.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Zamawiający poinformuje eksperta o sposobie wypełniania </w:t>
      </w:r>
      <w:r>
        <w:rPr>
          <w:i/>
          <w:szCs w:val="24"/>
          <w:lang w:eastAsia="zh-CN"/>
        </w:rPr>
        <w:t xml:space="preserve">formularza oceny </w:t>
      </w:r>
      <w:r>
        <w:rPr>
          <w:szCs w:val="24"/>
          <w:lang w:eastAsia="zh-CN"/>
        </w:rPr>
        <w:t>w ramach szkolenia zorganizowanego przed rozpoczęciem oceny. Ewentualne informacje uzupełniające będą przekazywane w ramach konsultacji indywidualnych.</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Za wykonanie Zamówienia ekspert otrzyma wynagrodzenie na podstawie umowy. Wynagrodzenie to będzie stanowić iloczyn ceny brutto za wykonanie oceny 1 (jednego) raportu końcowego wskazanej w ofercie eksperta oraz liczby raportów przez niego ocenionych w ramach Zamówienia. </w:t>
      </w:r>
    </w:p>
    <w:p w:rsidR="00F164C6" w:rsidRDefault="004A0275">
      <w:pPr>
        <w:widowControl/>
        <w:numPr>
          <w:ilvl w:val="0"/>
          <w:numId w:val="3"/>
        </w:numPr>
        <w:suppressAutoHyphens/>
        <w:spacing w:before="0" w:line="200" w:lineRule="atLeast"/>
        <w:textAlignment w:val="auto"/>
        <w:rPr>
          <w:szCs w:val="24"/>
          <w:lang w:eastAsia="zh-CN"/>
        </w:rPr>
      </w:pPr>
      <w:r>
        <w:rPr>
          <w:szCs w:val="24"/>
          <w:lang w:eastAsia="zh-CN"/>
        </w:rPr>
        <w:t xml:space="preserve">Zamawiający zapewni wsparcie ekspertom zaangażowanym do oceny jakościowej raportów końcowych beneficjentów programu w zakresie kwestii merytorycznych oraz technicznych związanych z procesem oceny poprzez wskazanie osób kontaktowych ze strony zespołu Erasmus+ Kształcenie i szkolenie zawodowe odpowiedzialnych za komunikację i współpracę z ekspertami. </w:t>
      </w:r>
    </w:p>
    <w:p w:rsidR="00F164C6" w:rsidRDefault="004A0275">
      <w:pPr>
        <w:widowControl/>
        <w:numPr>
          <w:ilvl w:val="0"/>
          <w:numId w:val="3"/>
        </w:numPr>
        <w:suppressAutoHyphens/>
        <w:spacing w:before="0"/>
        <w:contextualSpacing/>
        <w:textAlignment w:val="auto"/>
        <w:rPr>
          <w:szCs w:val="24"/>
          <w:lang w:eastAsia="zh-CN"/>
        </w:rPr>
      </w:pPr>
      <w:r>
        <w:rPr>
          <w:szCs w:val="24"/>
          <w:lang w:eastAsia="zh-CN"/>
        </w:rPr>
        <w:t>Przewidywane maksymalne stawki wynagrodzenia Wykonawcy:</w:t>
      </w:r>
    </w:p>
    <w:p w:rsidR="00F164C6" w:rsidRDefault="00F164C6">
      <w:pPr>
        <w:widowControl/>
        <w:suppressAutoHyphens/>
        <w:spacing w:before="0"/>
        <w:jc w:val="left"/>
        <w:textAlignment w:val="auto"/>
        <w:rPr>
          <w:szCs w:val="24"/>
          <w:lang w:eastAsia="zh-CN"/>
        </w:rPr>
      </w:pPr>
    </w:p>
    <w:tbl>
      <w:tblPr>
        <w:tblW w:w="8781" w:type="dxa"/>
        <w:tblInd w:w="8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353"/>
        <w:gridCol w:w="3428"/>
      </w:tblGrid>
      <w:tr w:rsidR="00F164C6">
        <w:tc>
          <w:tcPr>
            <w:tcW w:w="53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F164C6" w:rsidRDefault="004A0275">
            <w:pPr>
              <w:widowControl/>
              <w:suppressAutoHyphens/>
              <w:spacing w:before="0"/>
              <w:jc w:val="center"/>
              <w:textAlignment w:val="auto"/>
              <w:rPr>
                <w:rFonts w:eastAsiaTheme="minorHAnsi"/>
                <w:b/>
                <w:szCs w:val="22"/>
                <w:lang w:eastAsia="en-US" w:bidi="hi-IN"/>
              </w:rPr>
            </w:pPr>
            <w:r>
              <w:rPr>
                <w:rFonts w:eastAsia="SimSun"/>
                <w:b/>
                <w:sz w:val="22"/>
                <w:szCs w:val="22"/>
                <w:lang w:eastAsia="hi-IN" w:bidi="hi-IN"/>
              </w:rPr>
              <w:t>Kategoria</w:t>
            </w:r>
          </w:p>
        </w:tc>
        <w:tc>
          <w:tcPr>
            <w:tcW w:w="3428" w:type="dxa"/>
            <w:tcBorders>
              <w:top w:val="single" w:sz="8" w:space="0" w:color="00000A"/>
              <w:bottom w:val="single" w:sz="8" w:space="0" w:color="00000A"/>
              <w:right w:val="single" w:sz="8" w:space="0" w:color="00000A"/>
            </w:tcBorders>
            <w:shd w:val="clear" w:color="auto" w:fill="auto"/>
          </w:tcPr>
          <w:p w:rsidR="00F164C6" w:rsidRDefault="004A0275">
            <w:pPr>
              <w:widowControl/>
              <w:suppressAutoHyphens/>
              <w:spacing w:before="0"/>
              <w:jc w:val="center"/>
              <w:textAlignment w:val="auto"/>
              <w:rPr>
                <w:rFonts w:eastAsiaTheme="minorHAnsi"/>
                <w:b/>
                <w:szCs w:val="22"/>
                <w:lang w:eastAsia="en-US" w:bidi="hi-IN"/>
              </w:rPr>
            </w:pPr>
            <w:r>
              <w:rPr>
                <w:rFonts w:eastAsia="SimSun"/>
                <w:b/>
                <w:sz w:val="22"/>
                <w:szCs w:val="22"/>
                <w:lang w:eastAsia="hi-IN" w:bidi="hi-IN"/>
              </w:rPr>
              <w:t>Proponowana kwota brutto wynagrodzenia za ocenę jednego raportu</w:t>
            </w:r>
          </w:p>
        </w:tc>
      </w:tr>
      <w:tr w:rsidR="00F164C6">
        <w:tc>
          <w:tcPr>
            <w:tcW w:w="5352" w:type="dxa"/>
            <w:tcBorders>
              <w:left w:val="single" w:sz="8" w:space="0" w:color="00000A"/>
              <w:bottom w:val="single" w:sz="8" w:space="0" w:color="00000A"/>
              <w:right w:val="single" w:sz="8" w:space="0" w:color="00000A"/>
            </w:tcBorders>
            <w:shd w:val="clear" w:color="auto" w:fill="auto"/>
            <w:tcMar>
              <w:left w:w="98" w:type="dxa"/>
            </w:tcMar>
          </w:tcPr>
          <w:p w:rsidR="00F164C6" w:rsidRDefault="004A0275">
            <w:pPr>
              <w:widowControl/>
              <w:suppressAutoHyphens/>
              <w:spacing w:before="0"/>
              <w:jc w:val="left"/>
              <w:textAlignment w:val="auto"/>
              <w:rPr>
                <w:rFonts w:eastAsiaTheme="minorHAnsi"/>
                <w:szCs w:val="22"/>
                <w:lang w:eastAsia="en-US" w:bidi="hi-IN"/>
              </w:rPr>
            </w:pPr>
            <w:r>
              <w:rPr>
                <w:rFonts w:eastAsia="SimSun"/>
                <w:color w:val="262626"/>
                <w:sz w:val="22"/>
                <w:szCs w:val="22"/>
                <w:lang w:eastAsia="hi-IN" w:bidi="hi-IN"/>
              </w:rPr>
              <w:t>Ocena raportu końcowego z realizacji projektu</w:t>
            </w:r>
            <w:r>
              <w:rPr>
                <w:rFonts w:eastAsia="SimSun"/>
                <w:sz w:val="22"/>
                <w:szCs w:val="22"/>
                <w:lang w:eastAsia="hi-IN" w:bidi="hi-IN"/>
              </w:rPr>
              <w:t xml:space="preserve"> o budżecie między 60 001-150 000 </w:t>
            </w:r>
          </w:p>
        </w:tc>
        <w:tc>
          <w:tcPr>
            <w:tcW w:w="3428" w:type="dxa"/>
            <w:tcBorders>
              <w:bottom w:val="single" w:sz="8" w:space="0" w:color="00000A"/>
              <w:right w:val="single" w:sz="8" w:space="0" w:color="00000A"/>
            </w:tcBorders>
            <w:shd w:val="clear" w:color="auto" w:fill="auto"/>
            <w:vAlign w:val="center"/>
          </w:tcPr>
          <w:p w:rsidR="00F164C6" w:rsidRDefault="004A0275">
            <w:pPr>
              <w:widowControl/>
              <w:suppressAutoHyphens/>
              <w:spacing w:before="0"/>
              <w:jc w:val="center"/>
              <w:textAlignment w:val="auto"/>
              <w:rPr>
                <w:rFonts w:eastAsiaTheme="minorHAnsi"/>
                <w:szCs w:val="22"/>
                <w:lang w:eastAsia="en-US" w:bidi="hi-IN"/>
              </w:rPr>
            </w:pPr>
            <w:r>
              <w:rPr>
                <w:rFonts w:eastAsia="SimSun"/>
                <w:sz w:val="22"/>
                <w:szCs w:val="22"/>
                <w:lang w:eastAsia="hi-IN" w:bidi="hi-IN"/>
              </w:rPr>
              <w:t>1 200 zł</w:t>
            </w:r>
          </w:p>
        </w:tc>
      </w:tr>
      <w:tr w:rsidR="00F164C6">
        <w:tc>
          <w:tcPr>
            <w:tcW w:w="5352" w:type="dxa"/>
            <w:tcBorders>
              <w:left w:val="single" w:sz="8" w:space="0" w:color="00000A"/>
              <w:bottom w:val="single" w:sz="8" w:space="0" w:color="00000A"/>
              <w:right w:val="single" w:sz="8" w:space="0" w:color="00000A"/>
            </w:tcBorders>
            <w:shd w:val="clear" w:color="auto" w:fill="auto"/>
            <w:tcMar>
              <w:left w:w="98" w:type="dxa"/>
            </w:tcMar>
          </w:tcPr>
          <w:p w:rsidR="00F164C6" w:rsidRDefault="004A0275">
            <w:pPr>
              <w:widowControl/>
              <w:suppressAutoHyphens/>
              <w:spacing w:before="0"/>
              <w:jc w:val="left"/>
              <w:textAlignment w:val="auto"/>
              <w:rPr>
                <w:rFonts w:eastAsiaTheme="minorHAnsi"/>
                <w:szCs w:val="22"/>
                <w:lang w:eastAsia="en-US" w:bidi="hi-IN"/>
              </w:rPr>
            </w:pPr>
            <w:r>
              <w:rPr>
                <w:rFonts w:eastAsia="SimSun"/>
                <w:color w:val="262626"/>
                <w:sz w:val="22"/>
                <w:szCs w:val="22"/>
                <w:lang w:eastAsia="hi-IN" w:bidi="hi-IN"/>
              </w:rPr>
              <w:t>Ocena raportu końcowego z realizacji projektu</w:t>
            </w:r>
            <w:r>
              <w:rPr>
                <w:rFonts w:eastAsia="SimSun"/>
                <w:sz w:val="22"/>
                <w:szCs w:val="22"/>
                <w:lang w:eastAsia="hi-IN" w:bidi="hi-IN"/>
              </w:rPr>
              <w:t xml:space="preserve"> o budżecie między 150 001 -250 000 euro </w:t>
            </w:r>
          </w:p>
        </w:tc>
        <w:tc>
          <w:tcPr>
            <w:tcW w:w="3428" w:type="dxa"/>
            <w:tcBorders>
              <w:bottom w:val="single" w:sz="8" w:space="0" w:color="00000A"/>
              <w:right w:val="single" w:sz="8" w:space="0" w:color="00000A"/>
            </w:tcBorders>
            <w:shd w:val="clear" w:color="auto" w:fill="auto"/>
            <w:vAlign w:val="center"/>
          </w:tcPr>
          <w:p w:rsidR="00F164C6" w:rsidRDefault="004A0275">
            <w:pPr>
              <w:widowControl/>
              <w:suppressAutoHyphens/>
              <w:spacing w:before="0"/>
              <w:jc w:val="center"/>
              <w:textAlignment w:val="auto"/>
              <w:rPr>
                <w:rFonts w:eastAsiaTheme="minorHAnsi"/>
                <w:szCs w:val="22"/>
                <w:lang w:eastAsia="en-US" w:bidi="hi-IN"/>
              </w:rPr>
            </w:pPr>
            <w:r>
              <w:rPr>
                <w:rFonts w:eastAsia="SimSun"/>
                <w:sz w:val="22"/>
                <w:szCs w:val="22"/>
                <w:lang w:eastAsia="hi-IN" w:bidi="hi-IN"/>
              </w:rPr>
              <w:t>1 600 zł</w:t>
            </w:r>
          </w:p>
        </w:tc>
      </w:tr>
      <w:tr w:rsidR="00F164C6">
        <w:tc>
          <w:tcPr>
            <w:tcW w:w="5352" w:type="dxa"/>
            <w:tcBorders>
              <w:left w:val="single" w:sz="8" w:space="0" w:color="00000A"/>
              <w:bottom w:val="single" w:sz="8" w:space="0" w:color="00000A"/>
              <w:right w:val="single" w:sz="8" w:space="0" w:color="00000A"/>
            </w:tcBorders>
            <w:shd w:val="clear" w:color="auto" w:fill="auto"/>
            <w:tcMar>
              <w:left w:w="98" w:type="dxa"/>
            </w:tcMar>
          </w:tcPr>
          <w:p w:rsidR="00F164C6" w:rsidRDefault="004A0275">
            <w:pPr>
              <w:widowControl/>
              <w:suppressAutoHyphens/>
              <w:spacing w:before="0"/>
              <w:jc w:val="left"/>
              <w:textAlignment w:val="auto"/>
              <w:rPr>
                <w:rFonts w:eastAsiaTheme="minorHAnsi"/>
                <w:szCs w:val="22"/>
                <w:lang w:eastAsia="en-US" w:bidi="hi-IN"/>
              </w:rPr>
            </w:pPr>
            <w:r>
              <w:rPr>
                <w:rFonts w:eastAsia="SimSun"/>
                <w:color w:val="262626"/>
                <w:sz w:val="22"/>
                <w:szCs w:val="22"/>
                <w:lang w:eastAsia="hi-IN" w:bidi="hi-IN"/>
              </w:rPr>
              <w:t>Ocena raportu końcowego z realizacji projektu</w:t>
            </w:r>
            <w:r>
              <w:rPr>
                <w:rFonts w:eastAsia="SimSun"/>
                <w:sz w:val="22"/>
                <w:szCs w:val="22"/>
                <w:lang w:eastAsia="hi-IN" w:bidi="hi-IN"/>
              </w:rPr>
              <w:t xml:space="preserve"> o budżecie między 250 001-350 000 euro </w:t>
            </w:r>
          </w:p>
        </w:tc>
        <w:tc>
          <w:tcPr>
            <w:tcW w:w="3428" w:type="dxa"/>
            <w:tcBorders>
              <w:bottom w:val="single" w:sz="8" w:space="0" w:color="00000A"/>
              <w:right w:val="single" w:sz="8" w:space="0" w:color="00000A"/>
            </w:tcBorders>
            <w:shd w:val="clear" w:color="auto" w:fill="auto"/>
            <w:vAlign w:val="center"/>
          </w:tcPr>
          <w:p w:rsidR="00F164C6" w:rsidRDefault="004A0275">
            <w:pPr>
              <w:widowControl/>
              <w:suppressAutoHyphens/>
              <w:spacing w:before="0"/>
              <w:jc w:val="center"/>
              <w:textAlignment w:val="auto"/>
              <w:rPr>
                <w:rFonts w:eastAsiaTheme="minorHAnsi"/>
                <w:szCs w:val="22"/>
                <w:lang w:eastAsia="en-US" w:bidi="hi-IN"/>
              </w:rPr>
            </w:pPr>
            <w:r>
              <w:rPr>
                <w:rFonts w:eastAsia="SimSun"/>
                <w:sz w:val="22"/>
                <w:szCs w:val="22"/>
                <w:lang w:eastAsia="hi-IN" w:bidi="hi-IN"/>
              </w:rPr>
              <w:t>1 900 zł</w:t>
            </w:r>
          </w:p>
        </w:tc>
      </w:tr>
      <w:tr w:rsidR="00F164C6">
        <w:tc>
          <w:tcPr>
            <w:tcW w:w="5352" w:type="dxa"/>
            <w:tcBorders>
              <w:left w:val="single" w:sz="8" w:space="0" w:color="00000A"/>
              <w:bottom w:val="single" w:sz="8" w:space="0" w:color="00000A"/>
              <w:right w:val="single" w:sz="8" w:space="0" w:color="00000A"/>
            </w:tcBorders>
            <w:shd w:val="clear" w:color="auto" w:fill="auto"/>
            <w:tcMar>
              <w:left w:w="98" w:type="dxa"/>
            </w:tcMar>
          </w:tcPr>
          <w:p w:rsidR="00F164C6" w:rsidRDefault="004A0275">
            <w:pPr>
              <w:widowControl/>
              <w:suppressAutoHyphens/>
              <w:spacing w:before="0"/>
              <w:jc w:val="left"/>
              <w:textAlignment w:val="auto"/>
              <w:rPr>
                <w:rFonts w:eastAsiaTheme="minorHAnsi"/>
                <w:szCs w:val="22"/>
                <w:lang w:eastAsia="en-US" w:bidi="hi-IN"/>
              </w:rPr>
            </w:pPr>
            <w:r>
              <w:rPr>
                <w:rFonts w:eastAsia="SimSun"/>
                <w:color w:val="262626"/>
                <w:sz w:val="22"/>
                <w:szCs w:val="22"/>
                <w:lang w:eastAsia="hi-IN" w:bidi="hi-IN"/>
              </w:rPr>
              <w:t>Ocena raportu końcowego z realizacji projektu</w:t>
            </w:r>
            <w:r>
              <w:rPr>
                <w:rFonts w:eastAsia="SimSun"/>
                <w:sz w:val="22"/>
                <w:szCs w:val="22"/>
                <w:lang w:eastAsia="hi-IN" w:bidi="hi-IN"/>
              </w:rPr>
              <w:t xml:space="preserve"> o budżecie między 350 001-450 000 euro </w:t>
            </w:r>
          </w:p>
        </w:tc>
        <w:tc>
          <w:tcPr>
            <w:tcW w:w="3428" w:type="dxa"/>
            <w:tcBorders>
              <w:bottom w:val="single" w:sz="8" w:space="0" w:color="00000A"/>
              <w:right w:val="single" w:sz="8" w:space="0" w:color="00000A"/>
            </w:tcBorders>
            <w:shd w:val="clear" w:color="auto" w:fill="auto"/>
            <w:vAlign w:val="center"/>
          </w:tcPr>
          <w:p w:rsidR="00F164C6" w:rsidRDefault="004A0275">
            <w:pPr>
              <w:widowControl/>
              <w:suppressAutoHyphens/>
              <w:spacing w:before="0"/>
              <w:jc w:val="center"/>
              <w:textAlignment w:val="auto"/>
              <w:rPr>
                <w:rFonts w:eastAsiaTheme="minorHAnsi"/>
                <w:szCs w:val="22"/>
                <w:lang w:eastAsia="en-US" w:bidi="hi-IN"/>
              </w:rPr>
            </w:pPr>
            <w:r>
              <w:rPr>
                <w:rFonts w:eastAsia="SimSun"/>
                <w:sz w:val="22"/>
                <w:szCs w:val="22"/>
                <w:lang w:eastAsia="hi-IN" w:bidi="hi-IN"/>
              </w:rPr>
              <w:t>2 200 zł</w:t>
            </w:r>
          </w:p>
        </w:tc>
      </w:tr>
    </w:tbl>
    <w:p w:rsidR="00F164C6" w:rsidRDefault="00F164C6">
      <w:pPr>
        <w:spacing w:before="0"/>
        <w:ind w:left="720"/>
        <w:rPr>
          <w:szCs w:val="24"/>
          <w:lang w:eastAsia="zh-CN"/>
        </w:rPr>
      </w:pPr>
    </w:p>
    <w:p w:rsidR="00F164C6" w:rsidRDefault="00F164C6"/>
    <w:sectPr w:rsidR="00F164C6">
      <w:headerReference w:type="default" r:id="rId9"/>
      <w:footerReference w:type="default" r:id="rId10"/>
      <w:pgSz w:w="11906" w:h="16838"/>
      <w:pgMar w:top="1418" w:right="1418" w:bottom="1418" w:left="1418" w:header="284"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9F" w:rsidRDefault="004A0275">
      <w:pPr>
        <w:spacing w:before="0"/>
      </w:pPr>
      <w:r>
        <w:separator/>
      </w:r>
    </w:p>
  </w:endnote>
  <w:endnote w:type="continuationSeparator" w:id="0">
    <w:p w:rsidR="00270B9F" w:rsidRDefault="004A02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40890"/>
      <w:docPartObj>
        <w:docPartGallery w:val="Page Numbers (Top of Page)"/>
        <w:docPartUnique/>
      </w:docPartObj>
    </w:sdtPr>
    <w:sdtEndPr/>
    <w:sdtContent>
      <w:p w:rsidR="00F164C6" w:rsidRDefault="004A0275">
        <w:r>
          <w:rPr>
            <w:sz w:val="20"/>
          </w:rPr>
          <w:t xml:space="preserve">Strona </w:t>
        </w:r>
        <w:r>
          <w:rPr>
            <w:sz w:val="20"/>
          </w:rPr>
          <w:fldChar w:fldCharType="begin"/>
        </w:r>
        <w:r>
          <w:instrText>PAGE</w:instrText>
        </w:r>
        <w:r>
          <w:fldChar w:fldCharType="separate"/>
        </w:r>
        <w:r w:rsidR="00DA67A6">
          <w:rPr>
            <w:noProof/>
          </w:rPr>
          <w:t>2</w:t>
        </w:r>
        <w:r>
          <w:fldChar w:fldCharType="end"/>
        </w:r>
        <w:r>
          <w:rPr>
            <w:sz w:val="20"/>
          </w:rPr>
          <w:t xml:space="preserve"> z </w:t>
        </w:r>
        <w:r>
          <w:rPr>
            <w:sz w:val="20"/>
          </w:rPr>
          <w:fldChar w:fldCharType="begin"/>
        </w:r>
        <w:r>
          <w:instrText>NUMPAGES</w:instrText>
        </w:r>
        <w:r>
          <w:fldChar w:fldCharType="separate"/>
        </w:r>
        <w:r w:rsidR="00DA67A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9F" w:rsidRDefault="004A0275">
      <w:pPr>
        <w:spacing w:before="0"/>
      </w:pPr>
      <w:r>
        <w:separator/>
      </w:r>
    </w:p>
  </w:footnote>
  <w:footnote w:type="continuationSeparator" w:id="0">
    <w:p w:rsidR="00270B9F" w:rsidRDefault="004A027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C6" w:rsidRDefault="004A0275">
    <w:pPr>
      <w:spacing w:before="0"/>
      <w:jc w:val="right"/>
      <w:rPr>
        <w:i/>
      </w:rPr>
    </w:pPr>
    <w:r>
      <w:rPr>
        <w:i/>
      </w:rPr>
      <w:t>Załącznik 1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62F"/>
    <w:multiLevelType w:val="multilevel"/>
    <w:tmpl w:val="C9B24E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6536D7"/>
    <w:multiLevelType w:val="multilevel"/>
    <w:tmpl w:val="496C13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2CF39C9"/>
    <w:multiLevelType w:val="multilevel"/>
    <w:tmpl w:val="3D880DBE"/>
    <w:lvl w:ilvl="0">
      <w:start w:val="1"/>
      <w:numFmt w:val="bullet"/>
      <w:lvlText w:val=""/>
      <w:lvlJc w:val="left"/>
      <w:pPr>
        <w:ind w:left="788" w:hanging="360"/>
      </w:pPr>
      <w:rPr>
        <w:rFonts w:ascii="Symbol" w:hAnsi="Symbol" w:cs="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3">
    <w:nsid w:val="4AFC5937"/>
    <w:multiLevelType w:val="multilevel"/>
    <w:tmpl w:val="BB2AD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F9D10C7"/>
    <w:multiLevelType w:val="multilevel"/>
    <w:tmpl w:val="A260D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64C6"/>
    <w:rsid w:val="00270B9F"/>
    <w:rsid w:val="004A0275"/>
    <w:rsid w:val="00DA67A6"/>
    <w:rsid w:val="00F164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C57"/>
    <w:pPr>
      <w:widowControl w:val="0"/>
      <w:spacing w:before="120"/>
      <w:jc w:val="both"/>
      <w:textAlignment w:val="baseline"/>
    </w:pPr>
    <w:rPr>
      <w:rFonts w:ascii="Times New Roman" w:hAnsi="Times New Roman" w:cs="Times New Roman"/>
      <w:sz w:val="24"/>
      <w:szCs w:val="20"/>
      <w:lang w:eastAsia="pl-PL"/>
    </w:rPr>
  </w:style>
  <w:style w:type="paragraph" w:styleId="Nagwek1">
    <w:name w:val="heading 1"/>
    <w:basedOn w:val="Normalny"/>
    <w:link w:val="Nagwek1Znak"/>
    <w:uiPriority w:val="9"/>
    <w:qFormat/>
    <w:rsid w:val="00761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semiHidden/>
    <w:unhideWhenUsed/>
    <w:qFormat/>
    <w:rsid w:val="007612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qFormat/>
    <w:rsid w:val="002659A5"/>
    <w:pPr>
      <w:keepNext/>
      <w:tabs>
        <w:tab w:val="left" w:pos="1701"/>
      </w:tabs>
      <w:spacing w:before="0" w:line="360" w:lineRule="atLeast"/>
      <w:outlineLvl w:val="2"/>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ziom3Znak">
    <w:name w:val="Poziom3 Znak"/>
    <w:basedOn w:val="Domylnaczcionkaakapitu"/>
    <w:link w:val="Poziom3"/>
    <w:qFormat/>
    <w:rsid w:val="00FE2439"/>
    <w:rPr>
      <w:rFonts w:ascii="Times New Roman" w:eastAsiaTheme="minorHAnsi" w:hAnsi="Times New Roman"/>
      <w:sz w:val="24"/>
      <w:szCs w:val="24"/>
    </w:rPr>
  </w:style>
  <w:style w:type="character" w:customStyle="1" w:styleId="Poziom2Znak">
    <w:name w:val="Poziom2 Znak"/>
    <w:basedOn w:val="Domylnaczcionkaakapitu"/>
    <w:link w:val="Poziom2"/>
    <w:qFormat/>
    <w:rsid w:val="00A5175D"/>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A5175D"/>
    <w:rPr>
      <w:rFonts w:ascii="Times New Roman" w:hAnsi="Times New Roman" w:cs="Times New Roman"/>
      <w:sz w:val="24"/>
      <w:szCs w:val="20"/>
      <w:lang w:eastAsia="pl-PL"/>
    </w:rPr>
  </w:style>
  <w:style w:type="character" w:customStyle="1" w:styleId="StopkaZnak">
    <w:name w:val="Stopka Znak"/>
    <w:basedOn w:val="Domylnaczcionkaakapitu"/>
    <w:link w:val="Stopka"/>
    <w:uiPriority w:val="99"/>
    <w:qFormat/>
    <w:rsid w:val="00A5175D"/>
    <w:rPr>
      <w:rFonts w:ascii="Times New Roman" w:hAnsi="Times New Roman" w:cs="Times New Roman"/>
      <w:sz w:val="24"/>
      <w:szCs w:val="20"/>
      <w:lang w:eastAsia="pl-PL"/>
    </w:rPr>
  </w:style>
  <w:style w:type="character" w:customStyle="1" w:styleId="czeinternetowe">
    <w:name w:val="Łącze internetowe"/>
    <w:basedOn w:val="Domylnaczcionkaakapitu"/>
    <w:uiPriority w:val="99"/>
    <w:unhideWhenUsed/>
    <w:rsid w:val="002F2271"/>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787EB1"/>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787EB1"/>
    <w:rPr>
      <w:vertAlign w:val="superscript"/>
    </w:rPr>
  </w:style>
  <w:style w:type="character" w:customStyle="1" w:styleId="poziom1Znak">
    <w:name w:val="poziom1 Znak"/>
    <w:basedOn w:val="Poziom2Znak"/>
    <w:link w:val="Poziom1"/>
    <w:qFormat/>
    <w:rsid w:val="00A469A4"/>
    <w:rPr>
      <w:rFonts w:ascii="Times New Roman" w:hAnsi="Times New Roman" w:cs="Times New Roman"/>
      <w:sz w:val="24"/>
      <w:szCs w:val="24"/>
      <w:lang w:eastAsia="pl-PL"/>
    </w:rPr>
  </w:style>
  <w:style w:type="character" w:styleId="UyteHipercze">
    <w:name w:val="FollowedHyperlink"/>
    <w:basedOn w:val="Domylnaczcionkaakapitu"/>
    <w:uiPriority w:val="99"/>
    <w:semiHidden/>
    <w:unhideWhenUsed/>
    <w:qFormat/>
    <w:rsid w:val="00A469A4"/>
    <w:rPr>
      <w:color w:val="800080" w:themeColor="followedHyperlink"/>
      <w:u w:val="single"/>
    </w:rPr>
  </w:style>
  <w:style w:type="character" w:customStyle="1" w:styleId="AkapitzlistZnak">
    <w:name w:val="Akapit z listą Znak"/>
    <w:basedOn w:val="Domylnaczcionkaakapitu"/>
    <w:link w:val="Akapitzlist"/>
    <w:uiPriority w:val="34"/>
    <w:qFormat/>
    <w:rsid w:val="00A469A4"/>
    <w:rPr>
      <w:rFonts w:ascii="Times New Roman" w:hAnsi="Times New Roman" w:cs="Times New Roman"/>
      <w:sz w:val="24"/>
      <w:szCs w:val="20"/>
      <w:lang w:eastAsia="pl-PL"/>
    </w:rPr>
  </w:style>
  <w:style w:type="character" w:customStyle="1" w:styleId="Poziom1Znak0">
    <w:name w:val="Poziom1 Znak"/>
    <w:basedOn w:val="AkapitzlistZnak"/>
    <w:qFormat/>
    <w:rsid w:val="00A469A4"/>
    <w:rPr>
      <w:rFonts w:ascii="Times New Roman" w:hAnsi="Times New Roman" w:cs="Times New Roman"/>
      <w:b/>
      <w:sz w:val="24"/>
      <w:szCs w:val="20"/>
      <w:lang w:eastAsia="pl-PL"/>
    </w:rPr>
  </w:style>
  <w:style w:type="character" w:customStyle="1" w:styleId="PoziomIZnak">
    <w:name w:val="PoziomI Znak"/>
    <w:basedOn w:val="Poziom1Znak0"/>
    <w:link w:val="PoziomI"/>
    <w:qFormat/>
    <w:rsid w:val="00A469A4"/>
    <w:rPr>
      <w:rFonts w:ascii="Times New Roman" w:hAnsi="Times New Roman" w:cs="Times New Roman"/>
      <w:b/>
      <w:sz w:val="24"/>
      <w:szCs w:val="20"/>
      <w:lang w:eastAsia="pl-PL"/>
    </w:rPr>
  </w:style>
  <w:style w:type="character" w:customStyle="1" w:styleId="Nagwek3Znak">
    <w:name w:val="Nagłówek 3 Znak"/>
    <w:basedOn w:val="Domylnaczcionkaakapitu"/>
    <w:link w:val="Nagwek3"/>
    <w:qFormat/>
    <w:rsid w:val="002659A5"/>
    <w:rPr>
      <w:rFonts w:ascii="Times New Roman" w:hAnsi="Times New Roman" w:cs="Times New Roman"/>
      <w:b/>
      <w:sz w:val="24"/>
      <w:szCs w:val="20"/>
      <w:u w:val="single"/>
      <w:lang w:eastAsia="pl-PL"/>
    </w:rPr>
  </w:style>
  <w:style w:type="character" w:customStyle="1" w:styleId="TekstpodstawowyZnak">
    <w:name w:val="Tekst podstawowy Znak"/>
    <w:basedOn w:val="Domylnaczcionkaakapitu"/>
    <w:link w:val="Tekstpodstawowy"/>
    <w:qFormat/>
    <w:rsid w:val="006803AE"/>
    <w:rPr>
      <w:rFonts w:ascii="Tahoma" w:hAnsi="Tahoma" w:cs="Tahoma"/>
      <w:sz w:val="20"/>
      <w:szCs w:val="24"/>
      <w:lang w:eastAsia="pl-PL"/>
    </w:rPr>
  </w:style>
  <w:style w:type="character" w:customStyle="1" w:styleId="Nagwek1Znak">
    <w:name w:val="Nagłówek 1 Znak"/>
    <w:basedOn w:val="Domylnaczcionkaakapitu"/>
    <w:link w:val="Nagwek1"/>
    <w:uiPriority w:val="9"/>
    <w:qFormat/>
    <w:rsid w:val="007612B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qFormat/>
    <w:rsid w:val="007612BD"/>
    <w:rPr>
      <w:rFonts w:asciiTheme="majorHAnsi" w:eastAsiaTheme="majorEastAsia" w:hAnsiTheme="majorHAnsi" w:cstheme="majorBidi"/>
      <w:b/>
      <w:bCs/>
      <w:color w:val="4F81BD" w:themeColor="accent1"/>
      <w:sz w:val="26"/>
      <w:szCs w:val="26"/>
      <w:lang w:eastAsia="pl-PL"/>
    </w:rPr>
  </w:style>
  <w:style w:type="character" w:customStyle="1" w:styleId="TekstdymkaZnak">
    <w:name w:val="Tekst dymka Znak"/>
    <w:basedOn w:val="Domylnaczcionkaakapitu"/>
    <w:link w:val="Tekstdymka"/>
    <w:uiPriority w:val="99"/>
    <w:semiHidden/>
    <w:qFormat/>
    <w:rsid w:val="00497D8E"/>
    <w:rPr>
      <w:rFonts w:ascii="Tahoma" w:hAnsi="Tahoma" w:cs="Tahoma"/>
      <w:sz w:val="16"/>
      <w:szCs w:val="16"/>
      <w:lang w:eastAsia="pl-PL"/>
    </w:rPr>
  </w:style>
  <w:style w:type="character" w:customStyle="1" w:styleId="ListLabel1">
    <w:name w:val="ListLabel 1"/>
    <w:qFormat/>
    <w:rPr>
      <w:b w:val="0"/>
      <w:i w:val="0"/>
      <w:sz w:val="24"/>
    </w:rPr>
  </w:style>
  <w:style w:type="character" w:customStyle="1" w:styleId="ListLabel2">
    <w:name w:val="ListLabel 2"/>
    <w:qFormat/>
    <w:rPr>
      <w:b w:val="0"/>
      <w:i w:val="0"/>
      <w:sz w:val="24"/>
    </w:rPr>
  </w:style>
  <w:style w:type="character" w:customStyle="1" w:styleId="ListLabel3">
    <w:name w:val="ListLabel 3"/>
    <w:qFormat/>
    <w:rPr>
      <w:b w:val="0"/>
      <w:i w:val="0"/>
      <w:sz w:val="24"/>
    </w:rPr>
  </w:style>
  <w:style w:type="character" w:customStyle="1" w:styleId="ListLabel4">
    <w:name w:val="ListLabel 4"/>
    <w:qFormat/>
    <w:rPr>
      <w:b w:val="0"/>
      <w:i w:val="0"/>
      <w:sz w:val="24"/>
    </w:rPr>
  </w:style>
  <w:style w:type="character" w:customStyle="1" w:styleId="ListLabel5">
    <w:name w:val="ListLabel 5"/>
    <w:qFormat/>
    <w:rPr>
      <w:b w:val="0"/>
      <w:i w:val="0"/>
      <w:sz w:val="24"/>
    </w:rPr>
  </w:style>
  <w:style w:type="character" w:customStyle="1" w:styleId="ListLabel6">
    <w:name w:val="ListLabel 6"/>
    <w:qFormat/>
    <w:rPr>
      <w:b w:val="0"/>
      <w:i w:val="0"/>
      <w:sz w:val="24"/>
    </w:rPr>
  </w:style>
  <w:style w:type="character" w:customStyle="1" w:styleId="ListLabel7">
    <w:name w:val="ListLabel 7"/>
    <w:qFormat/>
    <w:rPr>
      <w:b w:val="0"/>
      <w:i w:val="0"/>
      <w:sz w:val="24"/>
    </w:rPr>
  </w:style>
  <w:style w:type="character" w:customStyle="1" w:styleId="ListLabel8">
    <w:name w:val="ListLabel 8"/>
    <w:qFormat/>
    <w:rPr>
      <w:b w:val="0"/>
      <w:i w:val="0"/>
      <w:sz w:val="24"/>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b w:val="0"/>
      <w:i w:val="0"/>
      <w:sz w:val="24"/>
    </w:rPr>
  </w:style>
  <w:style w:type="character" w:customStyle="1" w:styleId="ListLabel19">
    <w:name w:val="ListLabel 19"/>
    <w:qFormat/>
    <w:rPr>
      <w:b w:val="0"/>
      <w:i w:val="0"/>
      <w:sz w:val="24"/>
    </w:rPr>
  </w:style>
  <w:style w:type="character" w:customStyle="1" w:styleId="ListLabel20">
    <w:name w:val="ListLabel 20"/>
    <w:qFormat/>
    <w:rPr>
      <w:b w:val="0"/>
      <w:i w:val="0"/>
      <w:sz w:val="24"/>
    </w:rPr>
  </w:style>
  <w:style w:type="character" w:customStyle="1" w:styleId="ListLabel21">
    <w:name w:val="ListLabel 21"/>
    <w:qFormat/>
    <w:rPr>
      <w:b w:val="0"/>
      <w:i w:val="0"/>
      <w:sz w:val="24"/>
    </w:rPr>
  </w:style>
  <w:style w:type="character" w:customStyle="1" w:styleId="ListLabel22">
    <w:name w:val="ListLabel 22"/>
    <w:qFormat/>
    <w:rPr>
      <w:b w:val="0"/>
      <w:i w:val="0"/>
      <w:sz w:val="24"/>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eastAsia="Times New Roman" w:cs="Times New Roman"/>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paragraph" w:styleId="Nagwek">
    <w:name w:val="header"/>
    <w:basedOn w:val="Normalny"/>
    <w:next w:val="Tekstpodstawowy"/>
    <w:link w:val="NagwekZnak"/>
    <w:uiPriority w:val="99"/>
    <w:unhideWhenUsed/>
    <w:rsid w:val="00A5175D"/>
    <w:pPr>
      <w:tabs>
        <w:tab w:val="center" w:pos="4536"/>
        <w:tab w:val="right" w:pos="9072"/>
      </w:tabs>
      <w:spacing w:before="0"/>
    </w:pPr>
  </w:style>
  <w:style w:type="paragraph" w:styleId="Tekstpodstawowy">
    <w:name w:val="Body Text"/>
    <w:basedOn w:val="Normalny"/>
    <w:link w:val="TekstpodstawowyZnak"/>
    <w:rsid w:val="006803AE"/>
    <w:pPr>
      <w:widowControl/>
      <w:spacing w:before="0"/>
      <w:textAlignment w:val="auto"/>
    </w:pPr>
    <w:rPr>
      <w:rFonts w:ascii="Tahoma" w:hAnsi="Tahoma" w:cs="Tahoma"/>
      <w:sz w:val="20"/>
      <w:szCs w:val="24"/>
    </w:rPr>
  </w:style>
  <w:style w:type="paragraph" w:styleId="Lista">
    <w:name w:val="List"/>
    <w:basedOn w:val="Tekstpodstawowy"/>
    <w:rPr>
      <w:rFonts w:cs="Arial"/>
    </w:rPr>
  </w:style>
  <w:style w:type="paragraph" w:styleId="Legenda">
    <w:name w:val="caption"/>
    <w:basedOn w:val="Normalny"/>
    <w:qFormat/>
    <w:pPr>
      <w:suppressLineNumbers/>
      <w:spacing w:after="120"/>
    </w:pPr>
    <w:rPr>
      <w:rFonts w:cs="Arial"/>
      <w:i/>
      <w:iCs/>
      <w:szCs w:val="24"/>
    </w:rPr>
  </w:style>
  <w:style w:type="paragraph" w:customStyle="1" w:styleId="Indeks">
    <w:name w:val="Indeks"/>
    <w:basedOn w:val="Normalny"/>
    <w:qFormat/>
    <w:pPr>
      <w:suppressLineNumbers/>
    </w:pPr>
    <w:rPr>
      <w:rFonts w:cs="Arial"/>
    </w:rPr>
  </w:style>
  <w:style w:type="paragraph" w:customStyle="1" w:styleId="Poziom3">
    <w:name w:val="Poziom3"/>
    <w:link w:val="Poziom3Znak"/>
    <w:qFormat/>
    <w:rsid w:val="00FE2439"/>
    <w:pPr>
      <w:widowControl w:val="0"/>
    </w:pPr>
    <w:rPr>
      <w:rFonts w:ascii="Calibri" w:eastAsiaTheme="minorHAnsi" w:hAnsi="Calibri"/>
      <w:sz w:val="24"/>
      <w:szCs w:val="24"/>
    </w:rPr>
  </w:style>
  <w:style w:type="paragraph" w:styleId="Akapitzlist">
    <w:name w:val="List Paragraph"/>
    <w:basedOn w:val="Normalny"/>
    <w:link w:val="AkapitzlistZnak"/>
    <w:qFormat/>
    <w:rsid w:val="007160B5"/>
    <w:pPr>
      <w:ind w:left="720"/>
      <w:contextualSpacing/>
    </w:pPr>
  </w:style>
  <w:style w:type="paragraph" w:customStyle="1" w:styleId="Poziom1">
    <w:name w:val="Poziom1"/>
    <w:basedOn w:val="Akapitzlist"/>
    <w:link w:val="poziom1Znak"/>
    <w:qFormat/>
    <w:rsid w:val="00A5175D"/>
    <w:pPr>
      <w:spacing w:before="240"/>
    </w:pPr>
    <w:rPr>
      <w:b/>
    </w:rPr>
  </w:style>
  <w:style w:type="paragraph" w:customStyle="1" w:styleId="wcicie">
    <w:name w:val="wcięcie"/>
    <w:basedOn w:val="Normalny"/>
    <w:qFormat/>
    <w:rsid w:val="007160B5"/>
    <w:pPr>
      <w:spacing w:before="0"/>
      <w:ind w:left="567"/>
    </w:pPr>
  </w:style>
  <w:style w:type="paragraph" w:customStyle="1" w:styleId="Poziom2">
    <w:name w:val="Poziom2"/>
    <w:basedOn w:val="Akapitzlist"/>
    <w:link w:val="Poziom2Znak"/>
    <w:qFormat/>
    <w:rsid w:val="00A5175D"/>
    <w:rPr>
      <w:szCs w:val="24"/>
    </w:rPr>
  </w:style>
  <w:style w:type="paragraph" w:styleId="Stopka">
    <w:name w:val="footer"/>
    <w:basedOn w:val="Normalny"/>
    <w:link w:val="StopkaZnak"/>
    <w:unhideWhenUsed/>
    <w:rsid w:val="00A5175D"/>
    <w:pPr>
      <w:tabs>
        <w:tab w:val="center" w:pos="4536"/>
        <w:tab w:val="right" w:pos="9072"/>
      </w:tabs>
      <w:spacing w:before="0"/>
    </w:pPr>
  </w:style>
  <w:style w:type="paragraph" w:styleId="Tekstprzypisudolnego">
    <w:name w:val="footnote text"/>
    <w:basedOn w:val="Normalny"/>
    <w:link w:val="TekstprzypisudolnegoZnak"/>
    <w:uiPriority w:val="99"/>
    <w:semiHidden/>
    <w:unhideWhenUsed/>
    <w:qFormat/>
    <w:rsid w:val="00787EB1"/>
    <w:pPr>
      <w:spacing w:before="0"/>
    </w:pPr>
    <w:rPr>
      <w:sz w:val="20"/>
    </w:rPr>
  </w:style>
  <w:style w:type="paragraph" w:customStyle="1" w:styleId="poziom10">
    <w:name w:val="poziom1"/>
    <w:basedOn w:val="Poziom2"/>
    <w:qFormat/>
    <w:rsid w:val="00A469A4"/>
  </w:style>
  <w:style w:type="paragraph" w:customStyle="1" w:styleId="PoziomI">
    <w:name w:val="PoziomI"/>
    <w:basedOn w:val="Poziom1"/>
    <w:link w:val="PoziomIZnak"/>
    <w:qFormat/>
    <w:rsid w:val="00A469A4"/>
  </w:style>
  <w:style w:type="paragraph" w:styleId="Spistreci4">
    <w:name w:val="toc 4"/>
    <w:basedOn w:val="Normalny"/>
    <w:autoRedefine/>
    <w:semiHidden/>
    <w:rsid w:val="002659A5"/>
    <w:pPr>
      <w:spacing w:before="0" w:line="360" w:lineRule="atLeast"/>
      <w:ind w:left="720"/>
    </w:pPr>
  </w:style>
  <w:style w:type="paragraph" w:customStyle="1" w:styleId="Akapitzlist1">
    <w:name w:val="Akapit z listą1"/>
    <w:basedOn w:val="Normalny"/>
    <w:qFormat/>
    <w:rsid w:val="006C61C7"/>
    <w:pPr>
      <w:widowControl/>
      <w:suppressAutoHyphens/>
      <w:spacing w:before="0"/>
      <w:ind w:left="720"/>
      <w:jc w:val="left"/>
      <w:textAlignment w:val="auto"/>
    </w:pPr>
    <w:rPr>
      <w:rFonts w:ascii="Trebuchet MS" w:hAnsi="Trebuchet MS" w:cs="Trebuchet MS"/>
      <w:szCs w:val="24"/>
      <w:lang w:eastAsia="zh-CN"/>
    </w:rPr>
  </w:style>
  <w:style w:type="paragraph" w:styleId="Tekstdymka">
    <w:name w:val="Balloon Text"/>
    <w:basedOn w:val="Normalny"/>
    <w:link w:val="TekstdymkaZnak"/>
    <w:uiPriority w:val="99"/>
    <w:semiHidden/>
    <w:unhideWhenUsed/>
    <w:qFormat/>
    <w:rsid w:val="00497D8E"/>
    <w:pPr>
      <w:spacing w:before="0"/>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5D3F3-4310-4C6F-B459-689C2AF4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1595</Words>
  <Characters>9576</Characters>
  <Application>Microsoft Office Word</Application>
  <DocSecurity>0</DocSecurity>
  <Lines>79</Lines>
  <Paragraphs>22</Paragraphs>
  <ScaleCrop>false</ScaleCrop>
  <Company>FRSE</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ilawniczak</dc:creator>
  <dc:description/>
  <cp:lastModifiedBy>psosnowski</cp:lastModifiedBy>
  <cp:revision>17</cp:revision>
  <cp:lastPrinted>2016-09-16T07:45:00Z</cp:lastPrinted>
  <dcterms:created xsi:type="dcterms:W3CDTF">2015-04-09T12:49:00Z</dcterms:created>
  <dcterms:modified xsi:type="dcterms:W3CDTF">2016-09-16T08:15:00Z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