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6" w:rsidRDefault="003B6C8F" w:rsidP="004E6B96">
      <w:pPr>
        <w:jc w:val="center"/>
        <w:rPr>
          <w:b/>
        </w:rPr>
      </w:pPr>
      <w:r w:rsidRPr="003B6C8F">
        <w:rPr>
          <w:b/>
        </w:rPr>
        <w:t>Teksty próbne do przetłumaczenia</w:t>
      </w:r>
      <w:r>
        <w:rPr>
          <w:b/>
        </w:rPr>
        <w:t xml:space="preserve"> </w:t>
      </w:r>
    </w:p>
    <w:p w:rsidR="004E6B96" w:rsidRDefault="004E6B96" w:rsidP="004E6B96">
      <w:pPr>
        <w:jc w:val="center"/>
        <w:rPr>
          <w:b/>
          <w:bCs/>
          <w:caps/>
        </w:rPr>
      </w:pPr>
    </w:p>
    <w:p w:rsidR="004E6B96" w:rsidRDefault="004E6B96" w:rsidP="004E6B96">
      <w:pPr>
        <w:numPr>
          <w:ilvl w:val="0"/>
          <w:numId w:val="11"/>
        </w:numPr>
        <w:ind w:left="284" w:hanging="284"/>
      </w:pPr>
      <w:r>
        <w:t>Wersja polska którą Wykonawca zobowiązany jest przetłumaczyć z języka polskiego na język angielski i dołączyć do oferty:</w:t>
      </w:r>
    </w:p>
    <w:p w:rsidR="003E69FE" w:rsidRPr="003B6C8F" w:rsidRDefault="00BE0FFE" w:rsidP="003E69FE">
      <w:pPr>
        <w:spacing w:before="100" w:beforeAutospacing="1" w:after="100" w:afterAutospacing="1"/>
        <w:rPr>
          <w:u w:val="single"/>
        </w:rPr>
      </w:pPr>
      <w:r w:rsidRPr="003B6C8F">
        <w:rPr>
          <w:u w:val="single"/>
        </w:rPr>
        <w:t>Tekst 1</w:t>
      </w:r>
    </w:p>
    <w:p w:rsidR="00092E1E" w:rsidRPr="003B6C8F" w:rsidRDefault="00092E1E" w:rsidP="006D7D48">
      <w:pPr>
        <w:jc w:val="both"/>
      </w:pPr>
      <w:r w:rsidRPr="003B6C8F">
        <w:t>1.</w:t>
      </w:r>
    </w:p>
    <w:p w:rsidR="006D7D48" w:rsidRPr="003B6C8F" w:rsidRDefault="006D7D48" w:rsidP="006D7D48">
      <w:pPr>
        <w:jc w:val="both"/>
      </w:pPr>
      <w:r w:rsidRPr="003B6C8F">
        <w:t>Wkład programu „Uczenie się przez całe życie” 2007-2013 i E</w:t>
      </w:r>
      <w:r w:rsidR="00092E1E" w:rsidRPr="003B6C8F">
        <w:t xml:space="preserve">uropejskiego </w:t>
      </w:r>
      <w:r w:rsidRPr="003B6C8F">
        <w:t>F</w:t>
      </w:r>
      <w:r w:rsidR="00092E1E" w:rsidRPr="003B6C8F">
        <w:t xml:space="preserve">unduszu </w:t>
      </w:r>
      <w:r w:rsidRPr="003B6C8F">
        <w:t>S</w:t>
      </w:r>
      <w:r w:rsidR="00092E1E" w:rsidRPr="003B6C8F">
        <w:t>połecznego</w:t>
      </w:r>
      <w:r w:rsidRPr="003B6C8F">
        <w:t xml:space="preserve"> w realizację celów </w:t>
      </w:r>
      <w:r w:rsidR="00092E1E" w:rsidRPr="003B6C8F">
        <w:t>strategii  Edukacja i szkolenia 2020 (</w:t>
      </w:r>
      <w:r w:rsidRPr="003B6C8F">
        <w:t>ET 2020</w:t>
      </w:r>
      <w:r w:rsidR="00092E1E" w:rsidRPr="003B6C8F">
        <w:t>)</w:t>
      </w:r>
      <w:r w:rsidRPr="003B6C8F">
        <w:t xml:space="preserve"> w Polsce</w:t>
      </w:r>
    </w:p>
    <w:p w:rsidR="006D7D48" w:rsidRPr="003B6C8F" w:rsidRDefault="006D7D48" w:rsidP="006D7D48">
      <w:pPr>
        <w:jc w:val="both"/>
      </w:pPr>
    </w:p>
    <w:p w:rsidR="006D7D48" w:rsidRPr="003B6C8F" w:rsidRDefault="006D7D48" w:rsidP="006D7D48">
      <w:pPr>
        <w:jc w:val="both"/>
      </w:pPr>
      <w:r w:rsidRPr="003B6C8F">
        <w:t>Europa 2020 to unijna strategia wzrostu, ma</w:t>
      </w:r>
      <w:r w:rsidR="00092E1E" w:rsidRPr="003B6C8F">
        <w:t>jąca</w:t>
      </w:r>
      <w:r w:rsidRPr="003B6C8F">
        <w:t xml:space="preserve"> pomóc skorygować niedociągnięcia europejskiego modelu wzrostu gospodarczego i stworzyć warunki, dzięki którym będzie on </w:t>
      </w:r>
      <w:r w:rsidR="00092E1E" w:rsidRPr="003B6C8F">
        <w:t>lepiej</w:t>
      </w:r>
      <w:r w:rsidRPr="003B6C8F">
        <w:t xml:space="preserve"> dostosowany do potrzeb społeczeństwa, zrównoważony i sprzyjający włączeniu społecznemu. Edukacja i szkolenia odgrywają kluczową rolę w przekształcaniu Unii Europejskiej w wiodącą na świecie gospodarkę opartą na wiedzy. Cele strategiczne w zakresie edukacji i szkoleń obejmują: realizację koncepcji uczenia się przez całe życie i mobilności, </w:t>
      </w:r>
      <w:r w:rsidRPr="003B6C8F">
        <w:rPr>
          <w:bCs/>
        </w:rPr>
        <w:t>poprawę jakości i skuteczności kształcenia i szkolenia, promowanie równości, spójności społecznej i aktywności obywatelskiej</w:t>
      </w:r>
      <w:r w:rsidR="00092E1E" w:rsidRPr="003B6C8F">
        <w:rPr>
          <w:bCs/>
        </w:rPr>
        <w:t>,</w:t>
      </w:r>
      <w:r w:rsidRPr="003B6C8F">
        <w:rPr>
          <w:bCs/>
        </w:rPr>
        <w:t xml:space="preserve"> a także zwiększanie kreatywności i innowacyjności, w tym przedsiębiorczości, na wszystkich poziomach kształcenia i szkolenia.</w:t>
      </w:r>
    </w:p>
    <w:p w:rsidR="006D7D48" w:rsidRPr="003B6C8F" w:rsidRDefault="006D7D48" w:rsidP="00D223BB">
      <w:pPr>
        <w:jc w:val="both"/>
      </w:pPr>
    </w:p>
    <w:p w:rsidR="00FA4996" w:rsidRPr="003B6C8F" w:rsidRDefault="00092E1E" w:rsidP="00D223BB">
      <w:pPr>
        <w:jc w:val="both"/>
      </w:pPr>
      <w:r w:rsidRPr="003B6C8F">
        <w:t>2.</w:t>
      </w:r>
    </w:p>
    <w:p w:rsidR="00FA4996" w:rsidRPr="003B6C8F" w:rsidRDefault="004F3B33" w:rsidP="00D223BB">
      <w:pPr>
        <w:jc w:val="both"/>
      </w:pPr>
      <w:r w:rsidRPr="003B6C8F">
        <w:t xml:space="preserve">W perspektywie finansowej 2009-14 Mechanizmów Finansowych EOG i Norweskich Fundusz Stypendialny i Szkoleniowy w Polsce dysponuje </w:t>
      </w:r>
      <w:r w:rsidR="00E6078B" w:rsidRPr="003B6C8F">
        <w:t>środkami</w:t>
      </w:r>
      <w:r w:rsidRPr="003B6C8F">
        <w:t xml:space="preserve"> w wysokości ponad 15 mln EURO, z czego prawie 8 mln EURO zostało przeznaczonych na Rozwój Polskich Uczelni. Wśród inicjatyw, które  uzyskały finansowe wsparcie Funduszu znalazło się szerokie spektrum działań zmierzających do rozwoju i umiędzynarodowienia polskiego szkolnictwa wyższego. </w:t>
      </w:r>
      <w:r w:rsidR="006C5C20" w:rsidRPr="003B6C8F">
        <w:t>R</w:t>
      </w:r>
      <w:r w:rsidRPr="003B6C8F">
        <w:t xml:space="preserve">ealizowane są </w:t>
      </w:r>
      <w:proofErr w:type="spellStart"/>
      <w:r w:rsidRPr="003B6C8F">
        <w:t>projekty</w:t>
      </w:r>
      <w:proofErr w:type="spellEnd"/>
      <w:r w:rsidRPr="003B6C8F">
        <w:t xml:space="preserve"> obejmujące  działania  zmierzające do poprawy jakości kształcenia, służące rozwojowi oferty i zasobów dydaktycznych, w tym programów studiów w językach obcych, jak również działania mające na celu zwiększenie udziału polskich instytucji edukacyjnych w programach międzynarodowych, programach wymiany uczniów i studentów oraz możliwości organizowania imprez i wydarzeń międzynarodowych.</w:t>
      </w:r>
      <w:r w:rsidR="00003FD8" w:rsidRPr="003B6C8F">
        <w:t xml:space="preserve"> </w:t>
      </w:r>
    </w:p>
    <w:p w:rsidR="00BE0FFE" w:rsidRPr="003B6C8F" w:rsidRDefault="00BE0FFE" w:rsidP="00D223BB">
      <w:pPr>
        <w:spacing w:before="100" w:beforeAutospacing="1" w:after="100" w:afterAutospacing="1"/>
        <w:rPr>
          <w:u w:val="single"/>
        </w:rPr>
      </w:pPr>
      <w:r w:rsidRPr="003B6C8F">
        <w:rPr>
          <w:u w:val="single"/>
        </w:rPr>
        <w:t>Tekst 2</w:t>
      </w:r>
    </w:p>
    <w:p w:rsidR="00D223BB" w:rsidRPr="003B6C8F" w:rsidRDefault="00D223BB" w:rsidP="00D223BB">
      <w:pPr>
        <w:jc w:val="both"/>
      </w:pPr>
      <w:r w:rsidRPr="003B6C8F">
        <w:t>1.</w:t>
      </w:r>
    </w:p>
    <w:p w:rsidR="00BE0FFE" w:rsidRPr="003B6C8F" w:rsidRDefault="00BE0FFE" w:rsidP="00132018">
      <w:pPr>
        <w:jc w:val="both"/>
      </w:pPr>
      <w:r w:rsidRPr="003B6C8F">
        <w:t xml:space="preserve">Projekt realizowany przez Wydział Neofilologii Wyższej Szkoły Filologicznej (WSF) oraz Wydział Nauk Inżynieryjnych i Technicznych </w:t>
      </w:r>
      <w:proofErr w:type="spellStart"/>
      <w:r w:rsidRPr="003B6C8F">
        <w:t>Sogn</w:t>
      </w:r>
      <w:proofErr w:type="spellEnd"/>
      <w:r w:rsidRPr="003B6C8F">
        <w:t xml:space="preserve"> </w:t>
      </w:r>
      <w:proofErr w:type="spellStart"/>
      <w:r w:rsidRPr="003B6C8F">
        <w:t>og</w:t>
      </w:r>
      <w:proofErr w:type="spellEnd"/>
      <w:r w:rsidRPr="003B6C8F">
        <w:t xml:space="preserve"> </w:t>
      </w:r>
      <w:proofErr w:type="spellStart"/>
      <w:r w:rsidRPr="003B6C8F">
        <w:t>Fjordane</w:t>
      </w:r>
      <w:proofErr w:type="spellEnd"/>
      <w:r w:rsidRPr="003B6C8F">
        <w:t xml:space="preserve"> University College (</w:t>
      </w:r>
      <w:proofErr w:type="spellStart"/>
      <w:r w:rsidRPr="003B6C8F">
        <w:t>HiSF</w:t>
      </w:r>
      <w:proofErr w:type="spellEnd"/>
      <w:r w:rsidRPr="003B6C8F">
        <w:t>)</w:t>
      </w:r>
      <w:r w:rsidR="00B2263D" w:rsidRPr="003B6C8F">
        <w:t xml:space="preserve"> otrzymał dofinansowanie z funduszy norweskich w wysokości (…) Euro</w:t>
      </w:r>
      <w:r w:rsidRPr="003B6C8F">
        <w:t xml:space="preserve">. </w:t>
      </w:r>
      <w:r w:rsidRPr="003B6C8F">
        <w:rPr>
          <w:i/>
          <w:iCs/>
        </w:rPr>
        <w:t>Filolog dla środowiska</w:t>
      </w:r>
      <w:r w:rsidRPr="003B6C8F">
        <w:t xml:space="preserve"> ma charakter interdyscyplinarny – łączy bezpośrednio zagadnienia dydaktyki języków obcych, w tym nauczania języków obcych specjalistycznych, z treściami merytorycznymi dot. środowiska człowieka – zasobów, zagrożeń, ochrony itp. Prowadzi do rozszerzenia oferty kształcenia uczelni o nowy atrakcyjny profil zawodowy, szczególnie w połączeniu interdyscyplinarnych kursów z rozwojem wysokich kompetencji informacyjnych studentów/absolwentów, dzięki włączaniu w realizację zadań dydaktycznych form i projektów multimedialnych, z wykorzystaniem nowoczesnej infrastruktury studia </w:t>
      </w:r>
      <w:proofErr w:type="spellStart"/>
      <w:r w:rsidRPr="003B6C8F">
        <w:t>e-learningowego</w:t>
      </w:r>
      <w:proofErr w:type="spellEnd"/>
      <w:r w:rsidRPr="003B6C8F">
        <w:t xml:space="preserve"> i laboratorium audiowizualnego. Ponadto, realizacja projektu przyczyni się do poszerzenia obszaru społecznej odpowiedzialności WSF o strategię proekologiczną – świadome i celowe działania, polegające na racjonalnym korzystaniu z zasobów środowiska, realizacji projektów i inwestycji służących jego właściwej ochronie i popularyzacji </w:t>
      </w:r>
      <w:r w:rsidRPr="003B6C8F">
        <w:lastRenderedPageBreak/>
        <w:t>świadomych postaw proekologicznych wśród pracowników i studentów oraz otoczenia społecznego uczelni.</w:t>
      </w:r>
      <w:r w:rsidR="00B2263D" w:rsidRPr="003B6C8F">
        <w:t xml:space="preserve"> </w:t>
      </w:r>
    </w:p>
    <w:p w:rsidR="00BE0FFE" w:rsidRPr="003B6C8F" w:rsidRDefault="00BE0FFE" w:rsidP="003E69FE"/>
    <w:p w:rsidR="00D223BB" w:rsidRPr="003B6C8F" w:rsidRDefault="00D223BB" w:rsidP="00D223BB">
      <w:r w:rsidRPr="003B6C8F">
        <w:t>2.</w:t>
      </w:r>
    </w:p>
    <w:p w:rsidR="00D223BB" w:rsidRPr="003B6C8F" w:rsidRDefault="00D223BB" w:rsidP="00D223BB">
      <w:pPr>
        <w:jc w:val="both"/>
      </w:pPr>
      <w:r w:rsidRPr="003B6C8F">
        <w:t>Ochrona klimatu  i ograniczenie globalnego ocieplenia są uznawane za jeden z najpoważniejszych problemów globalnych. Ponieważ w Polsce energia pozyskiwana jest głównie ze spalania węgla, konieczny staje się rozwój wiedzy i propagowanie akceptacji społecznej w zakresie wdrażania technologii usuwania i składowania dwutlenku węgla. Proponowana technologia to jeden ze sposobów ograniczenia emisji CO2. Technologia  ta może stać się w przyszłości najważniejszym narzędziem w walce ze zmianami klimatycznymi. Jednak w obecnej sytuacji istotnym jest aby w naszym kraju nie pozwolić na jej odrzucenie poprzez intensywną edukację przyszłych kadr inżynierskich oraz uświadamianie społeczeństwa. Jest to możliwe poprzez wspieranie jej rozwoju zarówno w aspekcie szkoleniowym i dydaktycznym</w:t>
      </w:r>
      <w:r w:rsidR="00474F1A" w:rsidRPr="003B6C8F">
        <w:t>,</w:t>
      </w:r>
      <w:r w:rsidRPr="003B6C8F">
        <w:t xml:space="preserve">  jak i w kwestii uświadamiania społeczeństwa o braku zagrożeń dla człowieka i środowiska w przypadku wdrażania tej technologii</w:t>
      </w:r>
      <w:r w:rsidR="00132018" w:rsidRPr="003B6C8F">
        <w:t>.</w:t>
      </w:r>
    </w:p>
    <w:p w:rsidR="00D223BB" w:rsidRPr="003B6C8F" w:rsidRDefault="00D223BB" w:rsidP="00D223BB">
      <w:pPr>
        <w:jc w:val="both"/>
      </w:pPr>
      <w:r w:rsidRPr="003B6C8F">
        <w:t>Największym, antropogenicznym źródłem emisji gazów cieplarnianych jest przemysł energetyczny. Światowa energetyka oparta jest na spalaniu paliw kopalnych, a co za tym idzie rocznie do atmosfery emitowane są miliony ton gazowych produktów spalania, w tym CO2. Niniejszy projekt jest odpowiedzią na zidentyfikowany brak wysoko wykwalifikowanej kadry w obszarze CCS w Polsce. Główne cele projektu to:</w:t>
      </w:r>
    </w:p>
    <w:p w:rsidR="00D223BB" w:rsidRPr="003B6C8F" w:rsidRDefault="00D223BB" w:rsidP="00D223BB">
      <w:pPr>
        <w:pStyle w:val="Akapitzlist"/>
        <w:numPr>
          <w:ilvl w:val="0"/>
          <w:numId w:val="4"/>
        </w:numPr>
        <w:jc w:val="both"/>
      </w:pPr>
      <w:r w:rsidRPr="003B6C8F">
        <w:t>kształcenie wykwalifikowanej kadry w zakresie CCS w Polsce;</w:t>
      </w:r>
    </w:p>
    <w:p w:rsidR="00D223BB" w:rsidRPr="003B6C8F" w:rsidRDefault="00D223BB" w:rsidP="00D223BB">
      <w:pPr>
        <w:pStyle w:val="Akapitzlist"/>
        <w:numPr>
          <w:ilvl w:val="0"/>
          <w:numId w:val="4"/>
        </w:numPr>
        <w:jc w:val="both"/>
      </w:pPr>
      <w:r w:rsidRPr="003B6C8F">
        <w:t>pogłębianie świadomości społecznej oraz wspieranie obywateli w kształtowaniu ich opinii i wiedzy na temat technologii wychwytywania i składowania CO2;</w:t>
      </w:r>
    </w:p>
    <w:p w:rsidR="00D223BB" w:rsidRPr="003B6C8F" w:rsidRDefault="00D223BB" w:rsidP="00D223BB">
      <w:pPr>
        <w:pStyle w:val="Akapitzlist"/>
        <w:numPr>
          <w:ilvl w:val="0"/>
          <w:numId w:val="4"/>
        </w:numPr>
        <w:jc w:val="both"/>
      </w:pPr>
      <w:r w:rsidRPr="003B6C8F">
        <w:t>wzrost kwalifikacji studentów i absolwentów uczelni i pracowników przedsiębiorstw - oferta studiów podyplomowych i programu nauczania na kierunku Energetyka praktyczna II stopienia, realizowanego przez Politechnikę Częstochowską.</w:t>
      </w:r>
    </w:p>
    <w:p w:rsidR="00D223BB" w:rsidRPr="003B6C8F" w:rsidRDefault="00D223BB" w:rsidP="00D223BB">
      <w:pPr>
        <w:jc w:val="both"/>
      </w:pPr>
      <w:r w:rsidRPr="003B6C8F">
        <w:t xml:space="preserve">Na poziomie akademickim osiągnięcie celów projektu możliwe będzie poprzez organizację szkoły letniej. Dla pracowników przemysłu i samorządowców zorganizowane zostaną warsztaty techniczne. Zaplanowane jest również seminarium otwierające </w:t>
      </w:r>
      <w:r w:rsidR="00E6078B" w:rsidRPr="003B6C8F">
        <w:t>projekt</w:t>
      </w:r>
      <w:r w:rsidRPr="003B6C8F">
        <w:t xml:space="preserve"> oraz Dzień Otwarty. W ramach realizacji niniejszego projektu planowana jest rekrutacja 30 studentów studiów II stopnia oraz 20 doktorantów studiów III stopnia oraz udział 20 przedstawicieli przemysłu i samorządu.</w:t>
      </w:r>
    </w:p>
    <w:p w:rsidR="00114DA5" w:rsidRPr="003B6C8F" w:rsidRDefault="00114DA5" w:rsidP="00D223BB">
      <w:pPr>
        <w:jc w:val="both"/>
      </w:pPr>
    </w:p>
    <w:p w:rsidR="00092E1E" w:rsidRPr="003B6C8F" w:rsidRDefault="00092E1E" w:rsidP="00D223BB">
      <w:pPr>
        <w:jc w:val="both"/>
        <w:rPr>
          <w:u w:val="single"/>
        </w:rPr>
      </w:pPr>
      <w:r w:rsidRPr="003B6C8F">
        <w:rPr>
          <w:u w:val="single"/>
        </w:rPr>
        <w:t>Tekst 3</w:t>
      </w:r>
    </w:p>
    <w:p w:rsidR="00092E1E" w:rsidRPr="003B6C8F" w:rsidRDefault="00092E1E" w:rsidP="00D223BB">
      <w:pPr>
        <w:jc w:val="both"/>
      </w:pPr>
    </w:p>
    <w:p w:rsidR="00092E1E" w:rsidRPr="003B6C8F" w:rsidRDefault="00092E1E" w:rsidP="00132018">
      <w:pPr>
        <w:pStyle w:val="Tekstpodstawowy"/>
        <w:tabs>
          <w:tab w:val="left" w:pos="0"/>
        </w:tabs>
        <w:jc w:val="both"/>
        <w:rPr>
          <w:rFonts w:eastAsia="Arial Unicode MS"/>
          <w:color w:val="auto"/>
          <w:kern w:val="1"/>
          <w:szCs w:val="24"/>
        </w:rPr>
      </w:pPr>
      <w:r w:rsidRPr="003B6C8F">
        <w:rPr>
          <w:rFonts w:eastAsia="Arial Unicode MS"/>
          <w:color w:val="auto"/>
          <w:kern w:val="1"/>
          <w:szCs w:val="24"/>
        </w:rPr>
        <w:t>Celem niniejszej procedury jest ustalenie sposobu identyfikowania projektów o podwyższonym ryzyku oraz sposobu postępowania z nimi w procesie przyznawania dofinansowania programu Fundusz Stypendialny i Szkoleniowy, aby ograniczyć następujące ryzyka związane z realizacją projektów przez beneficjentów: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 </w:t>
      </w:r>
      <w:r w:rsidRPr="003B6C8F">
        <w:rPr>
          <w:rFonts w:eastAsia="Arial Unicode MS"/>
          <w:color w:val="auto"/>
          <w:kern w:val="1"/>
          <w:szCs w:val="24"/>
        </w:rPr>
        <w:t>niepowodzenia realizacji projektu,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 </w:t>
      </w:r>
      <w:r w:rsidRPr="003B6C8F">
        <w:rPr>
          <w:rFonts w:eastAsia="Arial Unicode MS"/>
          <w:color w:val="auto"/>
          <w:kern w:val="1"/>
          <w:szCs w:val="24"/>
        </w:rPr>
        <w:t>nieprawidłowe wykorzystanie dofinansowania,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 </w:t>
      </w:r>
      <w:r w:rsidRPr="003B6C8F">
        <w:rPr>
          <w:rFonts w:eastAsia="Arial Unicode MS"/>
          <w:color w:val="auto"/>
          <w:kern w:val="1"/>
          <w:szCs w:val="24"/>
        </w:rPr>
        <w:t>sprzeniewierzenia dofinansowania.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 </w:t>
      </w:r>
      <w:r w:rsidRPr="003B6C8F">
        <w:rPr>
          <w:rFonts w:eastAsia="Arial Unicode MS"/>
          <w:color w:val="auto"/>
          <w:kern w:val="1"/>
          <w:szCs w:val="24"/>
        </w:rPr>
        <w:t>Określa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 ona</w:t>
      </w:r>
      <w:r w:rsidRPr="003B6C8F">
        <w:rPr>
          <w:rFonts w:eastAsia="Arial Unicode MS"/>
          <w:color w:val="auto"/>
          <w:kern w:val="1"/>
          <w:szCs w:val="24"/>
        </w:rPr>
        <w:t xml:space="preserve"> również zakres uprawnień i odpowiedzialności pracowników F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undacji </w:t>
      </w:r>
      <w:r w:rsidRPr="003B6C8F">
        <w:rPr>
          <w:rFonts w:eastAsia="Arial Unicode MS"/>
          <w:color w:val="auto"/>
          <w:kern w:val="1"/>
          <w:szCs w:val="24"/>
        </w:rPr>
        <w:t>R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ozwoju </w:t>
      </w:r>
      <w:r w:rsidRPr="003B6C8F">
        <w:rPr>
          <w:rFonts w:eastAsia="Arial Unicode MS"/>
          <w:color w:val="auto"/>
          <w:kern w:val="1"/>
          <w:szCs w:val="24"/>
        </w:rPr>
        <w:t>S</w:t>
      </w:r>
      <w:r w:rsidR="00132018" w:rsidRPr="003B6C8F">
        <w:rPr>
          <w:rFonts w:eastAsia="Arial Unicode MS"/>
          <w:color w:val="auto"/>
          <w:kern w:val="1"/>
          <w:szCs w:val="24"/>
        </w:rPr>
        <w:t xml:space="preserve">ystemu </w:t>
      </w:r>
      <w:r w:rsidRPr="003B6C8F">
        <w:rPr>
          <w:rFonts w:eastAsia="Arial Unicode MS"/>
          <w:color w:val="auto"/>
          <w:kern w:val="1"/>
          <w:szCs w:val="24"/>
        </w:rPr>
        <w:t>E</w:t>
      </w:r>
      <w:r w:rsidR="00132018" w:rsidRPr="003B6C8F">
        <w:rPr>
          <w:rFonts w:eastAsia="Arial Unicode MS"/>
          <w:color w:val="auto"/>
          <w:kern w:val="1"/>
          <w:szCs w:val="24"/>
        </w:rPr>
        <w:t>dukacji</w:t>
      </w:r>
      <w:r w:rsidR="00397076" w:rsidRPr="003B6C8F">
        <w:rPr>
          <w:rFonts w:eastAsia="Arial Unicode MS"/>
          <w:color w:val="auto"/>
          <w:kern w:val="1"/>
          <w:szCs w:val="24"/>
        </w:rPr>
        <w:t xml:space="preserve"> (FRSE)</w:t>
      </w:r>
      <w:r w:rsidRPr="003B6C8F">
        <w:rPr>
          <w:rFonts w:eastAsia="Arial Unicode MS"/>
          <w:color w:val="auto"/>
          <w:kern w:val="1"/>
          <w:szCs w:val="24"/>
        </w:rPr>
        <w:t xml:space="preserve"> w powyższym procesie.</w:t>
      </w:r>
    </w:p>
    <w:p w:rsidR="00092E1E" w:rsidRPr="003B6C8F" w:rsidRDefault="00092E1E" w:rsidP="00132018"/>
    <w:p w:rsidR="00132018" w:rsidRPr="003B6C8F" w:rsidRDefault="00132018" w:rsidP="00132018">
      <w:pPr>
        <w:jc w:val="both"/>
      </w:pPr>
      <w:r w:rsidRPr="003B6C8F">
        <w:t xml:space="preserve">Badanie wiarygodności finansowej jest przeprowadzane przez głównego specjalistę </w:t>
      </w:r>
      <w:r w:rsidRPr="003B6C8F">
        <w:br/>
        <w:t xml:space="preserve">ds. finansowych w oparciu o narzędzia i wytyczne dostarczone przez Komisję Europejską w Programach „Uczenie się przez całe życie”  i „Młodzież w działaniu” oraz o dodatkowe wskaźniki przyjęte dla celów ww. badania. </w:t>
      </w:r>
    </w:p>
    <w:p w:rsidR="00132018" w:rsidRPr="003B6C8F" w:rsidRDefault="00132018" w:rsidP="00132018">
      <w:pPr>
        <w:jc w:val="both"/>
      </w:pPr>
    </w:p>
    <w:p w:rsidR="00132018" w:rsidRPr="003B6C8F" w:rsidRDefault="00132018" w:rsidP="00132018">
      <w:pPr>
        <w:jc w:val="both"/>
      </w:pPr>
      <w:r w:rsidRPr="003B6C8F">
        <w:t xml:space="preserve">Podsumowaniem badania jest wypełniony formularz oceny wiarygodności finansowej wnioskodawcy,  zawierający ocenę punktową i </w:t>
      </w:r>
      <w:r w:rsidR="00397076" w:rsidRPr="003B6C8F">
        <w:t xml:space="preserve">opisową. </w:t>
      </w:r>
      <w:r w:rsidRPr="003B6C8F">
        <w:t xml:space="preserve">W przypadku oceny „dobrej” </w:t>
      </w:r>
      <w:r w:rsidRPr="003B6C8F">
        <w:lastRenderedPageBreak/>
        <w:t xml:space="preserve">Operator Programu może odstąpić od żądania zabezpieczenia. FRSE rości sobie prawo stosowania zabezpieczenia pomimo posiadanej oceny „dobrej” </w:t>
      </w:r>
      <w:r w:rsidR="00397076" w:rsidRPr="003B6C8F">
        <w:t xml:space="preserve">i </w:t>
      </w:r>
      <w:r w:rsidRPr="003B6C8F">
        <w:t xml:space="preserve">w sytuacji, gdy kwota dofinansowania jest równa lub przewyższa majątek </w:t>
      </w:r>
      <w:r w:rsidR="00397076" w:rsidRPr="003B6C8F">
        <w:t>w</w:t>
      </w:r>
      <w:r w:rsidRPr="003B6C8F">
        <w:t>nioskodawcy.</w:t>
      </w:r>
    </w:p>
    <w:p w:rsidR="00132018" w:rsidRPr="003B6C8F" w:rsidRDefault="00132018" w:rsidP="00132018">
      <w:pPr>
        <w:jc w:val="both"/>
      </w:pPr>
    </w:p>
    <w:p w:rsidR="00132018" w:rsidRPr="003B6C8F" w:rsidRDefault="00132018" w:rsidP="00132018">
      <w:pPr>
        <w:jc w:val="both"/>
      </w:pPr>
      <w:r w:rsidRPr="003B6C8F">
        <w:t xml:space="preserve">W przypadku wystąpienia oceny „słabej” Zarząd FRSE podejmuje decyzję </w:t>
      </w:r>
      <w:r w:rsidRPr="003B6C8F">
        <w:br/>
        <w:t xml:space="preserve">w formie </w:t>
      </w:r>
      <w:r w:rsidR="00397076" w:rsidRPr="003B6C8F">
        <w:t>u</w:t>
      </w:r>
      <w:r w:rsidRPr="003B6C8F">
        <w:t xml:space="preserve">chwały o zażądaniu od </w:t>
      </w:r>
      <w:r w:rsidR="00397076" w:rsidRPr="003B6C8F">
        <w:t>w</w:t>
      </w:r>
      <w:r w:rsidRPr="003B6C8F">
        <w:t xml:space="preserve">nioskodawcy zabezpieczenia wykonania umowy w formie: </w:t>
      </w:r>
    </w:p>
    <w:p w:rsidR="00132018" w:rsidRPr="003B6C8F" w:rsidRDefault="00132018" w:rsidP="00397076">
      <w:pPr>
        <w:pStyle w:val="Akapitzlist"/>
        <w:numPr>
          <w:ilvl w:val="0"/>
          <w:numId w:val="10"/>
        </w:numPr>
        <w:jc w:val="both"/>
      </w:pPr>
      <w:r w:rsidRPr="003B6C8F">
        <w:t xml:space="preserve">gwarancji bankowej lub wystawionej przez inną instytucję finansową gwarancji finansowej, np. ubezpieczeniowej; </w:t>
      </w:r>
    </w:p>
    <w:p w:rsidR="00132018" w:rsidRPr="003B6C8F" w:rsidRDefault="00132018" w:rsidP="00397076">
      <w:pPr>
        <w:pStyle w:val="Akapitzlist"/>
        <w:numPr>
          <w:ilvl w:val="0"/>
          <w:numId w:val="10"/>
        </w:numPr>
        <w:jc w:val="both"/>
      </w:pPr>
      <w:r w:rsidRPr="003B6C8F">
        <w:t xml:space="preserve">weksla </w:t>
      </w:r>
      <w:proofErr w:type="spellStart"/>
      <w:r w:rsidRPr="003B6C8F">
        <w:t>in</w:t>
      </w:r>
      <w:proofErr w:type="spellEnd"/>
      <w:r w:rsidRPr="003B6C8F">
        <w:t xml:space="preserve"> blanco z deklaracją wekslową;</w:t>
      </w:r>
    </w:p>
    <w:p w:rsidR="00132018" w:rsidRPr="003B6C8F" w:rsidRDefault="00132018" w:rsidP="00397076">
      <w:pPr>
        <w:pStyle w:val="Akapitzlist"/>
        <w:numPr>
          <w:ilvl w:val="0"/>
          <w:numId w:val="10"/>
        </w:numPr>
        <w:jc w:val="both"/>
      </w:pPr>
      <w:r w:rsidRPr="003B6C8F">
        <w:t xml:space="preserve">rozłożenia płatności na indywidualne raty, dostosowane do harmonogramu w projekcie;  </w:t>
      </w:r>
    </w:p>
    <w:p w:rsidR="00132018" w:rsidRPr="003B6C8F" w:rsidRDefault="00132018" w:rsidP="00132018">
      <w:pPr>
        <w:pStyle w:val="Akapitzlist"/>
        <w:numPr>
          <w:ilvl w:val="0"/>
          <w:numId w:val="10"/>
        </w:numPr>
        <w:jc w:val="both"/>
      </w:pPr>
      <w:r w:rsidRPr="003B6C8F">
        <w:t>refundacji poniesionych kosztów na podstawie dokumentów potwierdzają</w:t>
      </w:r>
      <w:r w:rsidR="00397076" w:rsidRPr="003B6C8F">
        <w:t>cych ich prawidłowe poniesienie.</w:t>
      </w:r>
    </w:p>
    <w:sectPr w:rsidR="00132018" w:rsidRPr="003B6C8F" w:rsidSect="006C42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E9" w:rsidRDefault="00272DE9" w:rsidP="00272DE9">
      <w:r>
        <w:separator/>
      </w:r>
    </w:p>
  </w:endnote>
  <w:endnote w:type="continuationSeparator" w:id="0">
    <w:p w:rsidR="00272DE9" w:rsidRDefault="00272DE9" w:rsidP="0027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E9" w:rsidRDefault="00272DE9" w:rsidP="00272DE9">
      <w:r>
        <w:separator/>
      </w:r>
    </w:p>
  </w:footnote>
  <w:footnote w:type="continuationSeparator" w:id="0">
    <w:p w:rsidR="00272DE9" w:rsidRDefault="00272DE9" w:rsidP="0027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E9" w:rsidRDefault="00272DE9">
    <w:pPr>
      <w:pStyle w:val="Nagwek"/>
    </w:pPr>
    <w:r>
      <w:tab/>
    </w:r>
    <w:r>
      <w:tab/>
      <w:t>Załącznik nr 6 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8A9"/>
    <w:multiLevelType w:val="hybridMultilevel"/>
    <w:tmpl w:val="7AC08370"/>
    <w:lvl w:ilvl="0" w:tplc="0AF4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A89"/>
    <w:multiLevelType w:val="hybridMultilevel"/>
    <w:tmpl w:val="5D9C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4213"/>
    <w:multiLevelType w:val="hybridMultilevel"/>
    <w:tmpl w:val="4EE4D786"/>
    <w:lvl w:ilvl="0" w:tplc="0AF4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70C6"/>
    <w:multiLevelType w:val="hybridMultilevel"/>
    <w:tmpl w:val="4B685E42"/>
    <w:lvl w:ilvl="0" w:tplc="0AF4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220"/>
    <w:multiLevelType w:val="multilevel"/>
    <w:tmpl w:val="91644C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690A3E"/>
    <w:multiLevelType w:val="hybridMultilevel"/>
    <w:tmpl w:val="6B1E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0176F"/>
    <w:multiLevelType w:val="multilevel"/>
    <w:tmpl w:val="574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D4C34"/>
    <w:multiLevelType w:val="multilevel"/>
    <w:tmpl w:val="BC243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021" w:hanging="31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29C097D"/>
    <w:multiLevelType w:val="hybridMultilevel"/>
    <w:tmpl w:val="8B1AE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62D7A">
      <w:start w:val="6"/>
      <w:numFmt w:val="ordinal"/>
      <w:lvlText w:val="%2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03401"/>
    <w:multiLevelType w:val="hybridMultilevel"/>
    <w:tmpl w:val="3AF88434"/>
    <w:lvl w:ilvl="0" w:tplc="08AE807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D2CB9"/>
    <w:multiLevelType w:val="hybridMultilevel"/>
    <w:tmpl w:val="4350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33"/>
    <w:rsid w:val="00003FD8"/>
    <w:rsid w:val="00011FD2"/>
    <w:rsid w:val="00092E1E"/>
    <w:rsid w:val="000E1F71"/>
    <w:rsid w:val="00114DA5"/>
    <w:rsid w:val="00132018"/>
    <w:rsid w:val="001D0042"/>
    <w:rsid w:val="00222FE7"/>
    <w:rsid w:val="00272DE9"/>
    <w:rsid w:val="0037298A"/>
    <w:rsid w:val="00397076"/>
    <w:rsid w:val="003B6C8F"/>
    <w:rsid w:val="003E69FE"/>
    <w:rsid w:val="00405DA0"/>
    <w:rsid w:val="00474F1A"/>
    <w:rsid w:val="004E6B96"/>
    <w:rsid w:val="004F3B33"/>
    <w:rsid w:val="005548B6"/>
    <w:rsid w:val="00564689"/>
    <w:rsid w:val="00576B7C"/>
    <w:rsid w:val="005D6CE2"/>
    <w:rsid w:val="00610691"/>
    <w:rsid w:val="006C42BE"/>
    <w:rsid w:val="006C5C20"/>
    <w:rsid w:val="006D7D48"/>
    <w:rsid w:val="00825680"/>
    <w:rsid w:val="00922752"/>
    <w:rsid w:val="00A336E1"/>
    <w:rsid w:val="00B2263D"/>
    <w:rsid w:val="00BE0FFE"/>
    <w:rsid w:val="00D223BB"/>
    <w:rsid w:val="00E0244D"/>
    <w:rsid w:val="00E6078B"/>
    <w:rsid w:val="00FA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FF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226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7D48"/>
    <w:rPr>
      <w:b/>
      <w:bCs/>
    </w:rPr>
  </w:style>
  <w:style w:type="paragraph" w:styleId="Tekstpodstawowy">
    <w:name w:val="Body Text"/>
    <w:basedOn w:val="Normalny"/>
    <w:link w:val="TekstpodstawowyZnak"/>
    <w:rsid w:val="00092E1E"/>
    <w:rPr>
      <w:color w:val="FF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2E1E"/>
    <w:rPr>
      <w:rFonts w:ascii="Times New Roman" w:eastAsia="Times New Roman" w:hAnsi="Times New Roman" w:cs="Times New Roman"/>
      <w:color w:val="FF00FF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92E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92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2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1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132018"/>
  </w:style>
  <w:style w:type="paragraph" w:styleId="Nagwek">
    <w:name w:val="header"/>
    <w:basedOn w:val="Normalny"/>
    <w:link w:val="NagwekZnak"/>
    <w:uiPriority w:val="99"/>
    <w:semiHidden/>
    <w:unhideWhenUsed/>
    <w:rsid w:val="00272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2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D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aslusarczyk</dc:creator>
  <cp:lastModifiedBy>smalinowska</cp:lastModifiedBy>
  <cp:revision>8</cp:revision>
  <cp:lastPrinted>2015-06-19T10:33:00Z</cp:lastPrinted>
  <dcterms:created xsi:type="dcterms:W3CDTF">2015-06-18T13:01:00Z</dcterms:created>
  <dcterms:modified xsi:type="dcterms:W3CDTF">2015-06-19T10:33:00Z</dcterms:modified>
</cp:coreProperties>
</file>