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9F23" w14:textId="77777777" w:rsidR="006D2D04" w:rsidRPr="006D2D04" w:rsidRDefault="006D2D04" w:rsidP="006D2D04">
      <w:pPr>
        <w:pStyle w:val="Nagwek3"/>
        <w:spacing w:after="200" w:line="36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6D2D04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Transformacja cyfrowa w organizacjach beneficjentów</w:t>
      </w:r>
    </w:p>
    <w:p w14:paraId="06E7C41B" w14:textId="77777777" w:rsidR="006D2D04" w:rsidRPr="006D2D04" w:rsidRDefault="006D2D04" w:rsidP="006D2D04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D2D0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Wyniki badania ankietowego wskazują, że realizacja projektów w ramach programu Erasmus+ wspiera organizacje beneficjentów w transformacji cyfrowej. Większość koordynatorów projektów </w:t>
      </w:r>
      <w:r w:rsidRPr="006D2D04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biorących udział w badaniu </w:t>
      </w:r>
      <w:r w:rsidRPr="006D2D0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(59%) </w:t>
      </w:r>
      <w:r w:rsidRPr="006D2D04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był</w:t>
      </w:r>
      <w:r w:rsidRPr="006D2D0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 zdania, że uczestnictwo w tym programie wpłynęło na poprawę nastawienia pracowników ich instytucji do transformacji cyfrowej. Wskazywali na to przede wszystkim respondenci realizujący projekty w sektorach Edukacja szkolna oraz Kształcenie i szkolenia zawodowe, a także ci reprezentujący organizacje mające swoje siedziby na wsiach lub w małych miastach, liczących do 50 tysięcy mieszkańców (por. wykres 3).</w:t>
      </w:r>
    </w:p>
    <w:p w14:paraId="045AF0BE" w14:textId="77777777" w:rsidR="006D2D04" w:rsidRPr="006D2D04" w:rsidRDefault="006D2D04" w:rsidP="006D2D04">
      <w:pPr>
        <w:spacing w:line="36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D2D0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Wykres 3. Wpływ programu Erasmus+ na transformację cyfrową organizacji (n=379)</w:t>
      </w:r>
    </w:p>
    <w:p w14:paraId="2FD24D97" w14:textId="77777777" w:rsidR="006D2D04" w:rsidRPr="006D2D04" w:rsidRDefault="006D2D04" w:rsidP="006D2D04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D2D04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drawing>
          <wp:inline distT="0" distB="0" distL="0" distR="0" wp14:anchorId="097F6851" wp14:editId="77D194DC">
            <wp:extent cx="5731200" cy="3327400"/>
            <wp:effectExtent l="0" t="0" r="0" b="0"/>
            <wp:docPr id="1073741844" name="image12.png" descr="Obraz zawierający tekst, zrzut ekranu, numer, Czcion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Obraz zawierający tekst, zrzut ekranu, numer, Czcionka&#10;&#10;Opis wygenerowany automatyczni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2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F765E9" w14:textId="77777777" w:rsidR="006D2D04" w:rsidRPr="006D2D04" w:rsidRDefault="006D2D04" w:rsidP="006D2D04">
      <w:pPr>
        <w:spacing w:line="36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  <w:r w:rsidRPr="006D2D0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Źródło: opracowanie własne, badanie CAWI wśród koordynatorów projektów w Polsce, badanie „The </w:t>
      </w:r>
      <w:proofErr w:type="spellStart"/>
      <w:r w:rsidRPr="006D2D0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ecosystem</w:t>
      </w:r>
      <w:proofErr w:type="spellEnd"/>
      <w:r w:rsidRPr="006D2D0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of </w:t>
      </w:r>
      <w:proofErr w:type="spellStart"/>
      <w:r w:rsidRPr="006D2D0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digital</w:t>
      </w:r>
      <w:proofErr w:type="spellEnd"/>
      <w:r w:rsidRPr="006D2D0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proofErr w:type="spellStart"/>
      <w:r w:rsidRPr="006D2D0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competence</w:t>
      </w:r>
      <w:proofErr w:type="spellEnd"/>
      <w:r w:rsidRPr="006D2D0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development in Erasmus+ </w:t>
      </w:r>
      <w:proofErr w:type="spellStart"/>
      <w:r w:rsidRPr="006D2D0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Programme</w:t>
      </w:r>
      <w:proofErr w:type="spellEnd"/>
      <w:r w:rsidRPr="006D2D0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”.</w:t>
      </w:r>
    </w:p>
    <w:p w14:paraId="7B0D5D21" w14:textId="77777777" w:rsidR="006D2D04" w:rsidRPr="006D2D04" w:rsidRDefault="006D2D04" w:rsidP="006D2D04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4ABAB1C0" w14:textId="77777777" w:rsidR="006D2D04" w:rsidRPr="006D2D04" w:rsidRDefault="006D2D04" w:rsidP="006D2D04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D2D0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Co ciekawe, mimo że dofinansowanie z programu Erasmus+ z reguły nie może być przeznaczane na inwestycje infrastrukturalne, ok. jedna trzecia koordynatorów (37%) stwierdziła, że realizacja projektu mobilności lub współpracy przyczyniła się do poprawy infrastruktury technicznej (np. zwiększenia dostępności sprzętu) w ich organizacji. Dotyczy to w podobnym stopniu każdej z analizowanych grup. Rozwój infrastruktury technicznej w organizacjach beneficjentów może być więc traktowany jako jeden z pośrednich, pozytywnych </w:t>
      </w:r>
      <w:r w:rsidRPr="006D2D04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efektów realizacji projektów Erasmus+, co potwierdzają również wnioski z wywiadów pogłębionych z kadrą menedżerską tych instytucji.</w:t>
      </w:r>
    </w:p>
    <w:p w14:paraId="6ECAFB0E" w14:textId="48462FAB" w:rsidR="006D2D04" w:rsidRPr="006D2D04" w:rsidRDefault="006D2D04" w:rsidP="006D2D04">
      <w:pPr>
        <w:spacing w:after="12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---------------- </w:t>
      </w:r>
    </w:p>
    <w:p w14:paraId="62392F36" w14:textId="2364D84E" w:rsidR="006D2D04" w:rsidRPr="006D2D04" w:rsidRDefault="006D2D04" w:rsidP="006D2D04">
      <w:pPr>
        <w:pStyle w:val="Nagwek2"/>
        <w:spacing w:line="360" w:lineRule="auto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6D2D04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Maskulinizacja zasadniczych szkół zawodowych i feminizacja liceów </w:t>
      </w:r>
    </w:p>
    <w:p w14:paraId="46D50C40" w14:textId="77777777" w:rsidR="006D2D04" w:rsidRPr="006D2D04" w:rsidRDefault="006D2D04" w:rsidP="006D2D04">
      <w:pPr>
        <w:spacing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highlight w:val="white"/>
        </w:rPr>
      </w:pPr>
      <w:r w:rsidRPr="006D2D0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highlight w:val="white"/>
        </w:rPr>
        <w:t>Zasadnicze szkoły zawodowe odgrywały kluczową rolę w systemie edukacji nie tylko dlatego, że były ośrodkami „produkcji” siły roboczej dla przemysłu. Stanowiły również ważne ogniwo w selekcji ze względu na płeć. Przez cały okres istnienia Polskiej Rzeczpospolitej Ludowej naukę w szkołach zawodowych wybierali przeważnie mężczyźni (</w:t>
      </w:r>
      <w:r w:rsidRPr="006D2D0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nieco ponad 60% uczniów). </w:t>
      </w:r>
      <w:r w:rsidRPr="006D2D0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highlight w:val="white"/>
        </w:rPr>
        <w:t xml:space="preserve">Struktura płci w szkołach maturalnych układała się inaczej. Uczennice zdecydowanie częściej niż uczniowie wybierały licea ogólnokształcące. Różnice te nasiliły się w dekadzie 1970–1980, przekraczając 70% na rzecz kobiet i utrzymywały się na zbliżonym poziomie aż do roku 1990, gdy nieco więcej chłopców podjęło naukę w liceach. Jednym z powodów późniejszej przewagi liczby kobiet na uczelniach była właśnie feminizacja liceów, które dawały większe szanse niż technika na kontynuację nauki na studiach. </w:t>
      </w:r>
    </w:p>
    <w:p w14:paraId="7643C0B9" w14:textId="77777777" w:rsidR="006D2D04" w:rsidRPr="003308F3" w:rsidRDefault="006D2D04" w:rsidP="006D2D04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262626" w:themeColor="text1" w:themeTint="D9"/>
        </w:rPr>
      </w:pPr>
    </w:p>
    <w:p w14:paraId="2045725E" w14:textId="77777777" w:rsidR="006D2D04" w:rsidRPr="003308F3" w:rsidRDefault="006D2D04" w:rsidP="006D2D04">
      <w:pPr>
        <w:pStyle w:val="Nagwek5"/>
        <w:spacing w:before="0" w:line="360" w:lineRule="auto"/>
        <w:rPr>
          <w:rFonts w:ascii="Times New Roman" w:eastAsia="Times New Roman" w:hAnsi="Times New Roman" w:cs="Times New Roman"/>
          <w:b/>
          <w:color w:val="262626" w:themeColor="text1" w:themeTint="D9"/>
        </w:rPr>
      </w:pPr>
      <w:r w:rsidRPr="003308F3">
        <w:rPr>
          <w:rFonts w:ascii="Times New Roman" w:eastAsia="Times New Roman" w:hAnsi="Times New Roman" w:cs="Times New Roman"/>
          <w:b/>
          <w:color w:val="262626" w:themeColor="text1" w:themeTint="D9"/>
        </w:rPr>
        <w:t>Wykres 2.3. Odsetek kobiet w liceach, technikach zawodowych oraz w zasadniczych szkołach zawodowych w latach 1955–1995</w:t>
      </w:r>
    </w:p>
    <w:p w14:paraId="23414F0D" w14:textId="77777777" w:rsidR="006D2D04" w:rsidRPr="006D2D04" w:rsidRDefault="006D2D04" w:rsidP="006D2D0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D2D04">
        <w:rPr>
          <w:rFonts w:ascii="Times New Roman" w:eastAsia="Times New Roman" w:hAnsi="Times New Roman" w:cs="Times New Roman"/>
          <w:noProof/>
          <w:color w:val="262626" w:themeColor="text1" w:themeTint="D9"/>
          <w:sz w:val="24"/>
          <w:szCs w:val="24"/>
          <w:highlight w:val="white"/>
        </w:rPr>
        <w:drawing>
          <wp:inline distT="0" distB="0" distL="0" distR="0" wp14:anchorId="71A67DC7" wp14:editId="184FCE3D">
            <wp:extent cx="4907280" cy="2819400"/>
            <wp:effectExtent l="0" t="0" r="7620" b="0"/>
            <wp:docPr id="213" name="image4.png" descr="C:\Users\Alicja\AppData\Local\Microsoft\Windows\INetCache\Content.Word\l_kobiet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Alicja\AppData\Local\Microsoft\Windows\INetCache\Content.Word\l_kobiet_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7840" cy="28197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826377" w14:textId="77777777" w:rsidR="006D2D04" w:rsidRPr="003308F3" w:rsidRDefault="006D2D04" w:rsidP="006D2D04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262626" w:themeColor="text1" w:themeTint="D9"/>
        </w:rPr>
      </w:pPr>
      <w:r w:rsidRPr="003308F3">
        <w:rPr>
          <w:rFonts w:ascii="Times New Roman" w:eastAsia="Times New Roman" w:hAnsi="Times New Roman" w:cs="Times New Roman"/>
          <w:color w:val="262626" w:themeColor="text1" w:themeTint="D9"/>
          <w:highlight w:val="white"/>
        </w:rPr>
        <w:t>Źródło:</w:t>
      </w:r>
      <w:r w:rsidRPr="003308F3">
        <w:rPr>
          <w:rFonts w:ascii="Times New Roman" w:eastAsia="Times New Roman" w:hAnsi="Times New Roman" w:cs="Times New Roman"/>
          <w:color w:val="262626" w:themeColor="text1" w:themeTint="D9"/>
        </w:rPr>
        <w:t xml:space="preserve"> Dane z Roczników Statystycznych GUS z lat 1956–1996. </w:t>
      </w:r>
    </w:p>
    <w:p w14:paraId="742E997B" w14:textId="77777777" w:rsidR="006D2D04" w:rsidRPr="006D2D04" w:rsidRDefault="006D2D04" w:rsidP="006D2D0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14:paraId="1B9BA7A1" w14:textId="77777777" w:rsidR="006D2D04" w:rsidRPr="006D2D04" w:rsidRDefault="006D2D04" w:rsidP="006D2D04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highlight w:val="white"/>
        </w:rPr>
      </w:pPr>
    </w:p>
    <w:p w14:paraId="3D7A9F2F" w14:textId="77777777" w:rsidR="006D2D04" w:rsidRPr="006D2D04" w:rsidRDefault="006D2D04" w:rsidP="006D2D04">
      <w:pPr>
        <w:pStyle w:val="Nagwek5"/>
        <w:spacing w:before="0" w:line="36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  <w:r w:rsidRPr="006D2D0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 xml:space="preserve">Tabela 2.3. Uczniowie i uczennice na poszczególnych kierunkach w zasadniczych szkołach zawodowych oraz relatywna wielkość kierunku* w roku szkolnym 1972/1973 </w:t>
      </w:r>
    </w:p>
    <w:tbl>
      <w:tblPr>
        <w:tblStyle w:val="41"/>
        <w:tblW w:w="9348" w:type="dxa"/>
        <w:tblInd w:w="57" w:type="dxa"/>
        <w:tblBorders>
          <w:top w:val="single" w:sz="4" w:space="0" w:color="000000"/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3"/>
        <w:gridCol w:w="2248"/>
        <w:gridCol w:w="2126"/>
        <w:gridCol w:w="2551"/>
      </w:tblGrid>
      <w:tr w:rsidR="006D2D04" w:rsidRPr="003308F3" w14:paraId="5BA74571" w14:textId="77777777" w:rsidTr="00DB6387">
        <w:trPr>
          <w:trHeight w:val="285"/>
        </w:trPr>
        <w:tc>
          <w:tcPr>
            <w:tcW w:w="24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39A3CB" w14:textId="77777777" w:rsidR="006D2D04" w:rsidRPr="003308F3" w:rsidRDefault="006D2D04" w:rsidP="006D2D04">
            <w:pPr>
              <w:spacing w:line="360" w:lineRule="auto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4D74CB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Odsetek chłopców wśród wszystkich uczniów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86659E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 xml:space="preserve">Odsetek dziewcząt wśród wszystkich uczennic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F51805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 xml:space="preserve">Odsetek uczniów na danym kierunku wśród wszystkich uczniów </w:t>
            </w:r>
          </w:p>
        </w:tc>
      </w:tr>
      <w:tr w:rsidR="006D2D04" w:rsidRPr="003308F3" w14:paraId="1C6E0B3F" w14:textId="77777777" w:rsidTr="00DB6387">
        <w:trPr>
          <w:trHeight w:val="285"/>
        </w:trPr>
        <w:tc>
          <w:tcPr>
            <w:tcW w:w="242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B1FEC3F" w14:textId="77777777" w:rsidR="006D2D04" w:rsidRPr="003308F3" w:rsidRDefault="006D2D04" w:rsidP="006D2D04">
            <w:pPr>
              <w:spacing w:line="360" w:lineRule="auto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mechaniczny</w:t>
            </w:r>
          </w:p>
        </w:tc>
        <w:tc>
          <w:tcPr>
            <w:tcW w:w="224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2B711D0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53,1%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4334C1A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12,5%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EFB5EBB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37,6%</w:t>
            </w:r>
          </w:p>
        </w:tc>
      </w:tr>
      <w:tr w:rsidR="006D2D04" w:rsidRPr="003308F3" w14:paraId="5331D4F1" w14:textId="77777777" w:rsidTr="00DB6387">
        <w:trPr>
          <w:trHeight w:val="285"/>
        </w:trPr>
        <w:tc>
          <w:tcPr>
            <w:tcW w:w="2423" w:type="dxa"/>
            <w:shd w:val="clear" w:color="auto" w:fill="auto"/>
            <w:vAlign w:val="bottom"/>
          </w:tcPr>
          <w:p w14:paraId="44B22529" w14:textId="77777777" w:rsidR="006D2D04" w:rsidRPr="003308F3" w:rsidRDefault="006D2D04" w:rsidP="006D2D04">
            <w:pPr>
              <w:spacing w:line="360" w:lineRule="auto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elektryczny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0148755B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12,3%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3CAE745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5,1%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A171949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9,6%</w:t>
            </w:r>
          </w:p>
        </w:tc>
      </w:tr>
      <w:tr w:rsidR="006D2D04" w:rsidRPr="003308F3" w14:paraId="5F90F92E" w14:textId="77777777" w:rsidTr="00DB6387">
        <w:trPr>
          <w:trHeight w:val="285"/>
        </w:trPr>
        <w:tc>
          <w:tcPr>
            <w:tcW w:w="2423" w:type="dxa"/>
            <w:shd w:val="clear" w:color="auto" w:fill="auto"/>
            <w:vAlign w:val="bottom"/>
          </w:tcPr>
          <w:p w14:paraId="39C31012" w14:textId="77777777" w:rsidR="006D2D04" w:rsidRPr="003308F3" w:rsidRDefault="006D2D04" w:rsidP="006D2D04">
            <w:pPr>
              <w:spacing w:line="360" w:lineRule="auto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 xml:space="preserve">rolniczy i leśny </w:t>
            </w:r>
            <w:r w:rsidRPr="003308F3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♀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0B4C594F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3,8%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B0AEC37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16,7%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D14BC84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8,7%</w:t>
            </w:r>
          </w:p>
        </w:tc>
      </w:tr>
      <w:tr w:rsidR="006D2D04" w:rsidRPr="003308F3" w14:paraId="6CDAE7B7" w14:textId="77777777" w:rsidTr="00DB6387">
        <w:trPr>
          <w:trHeight w:val="285"/>
        </w:trPr>
        <w:tc>
          <w:tcPr>
            <w:tcW w:w="2423" w:type="dxa"/>
            <w:shd w:val="clear" w:color="auto" w:fill="auto"/>
            <w:vAlign w:val="bottom"/>
          </w:tcPr>
          <w:p w14:paraId="57B442C2" w14:textId="77777777" w:rsidR="006D2D04" w:rsidRPr="003308F3" w:rsidRDefault="006D2D04" w:rsidP="006D2D04">
            <w:pPr>
              <w:spacing w:line="360" w:lineRule="auto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 xml:space="preserve">handlowy </w:t>
            </w:r>
            <w:r w:rsidRPr="003308F3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♀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3971FFA4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0,2%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5691762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15,9%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B2FE85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6,2%</w:t>
            </w:r>
          </w:p>
        </w:tc>
      </w:tr>
      <w:tr w:rsidR="006D2D04" w:rsidRPr="003308F3" w14:paraId="381DAD3C" w14:textId="77777777" w:rsidTr="00DB6387">
        <w:trPr>
          <w:trHeight w:val="285"/>
        </w:trPr>
        <w:tc>
          <w:tcPr>
            <w:tcW w:w="2423" w:type="dxa"/>
            <w:shd w:val="clear" w:color="auto" w:fill="auto"/>
            <w:vAlign w:val="bottom"/>
          </w:tcPr>
          <w:p w14:paraId="24F8488D" w14:textId="77777777" w:rsidR="006D2D04" w:rsidRPr="003308F3" w:rsidRDefault="006D2D04" w:rsidP="006D2D04">
            <w:pPr>
              <w:spacing w:line="360" w:lineRule="auto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budowlany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64040071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7,6%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891EA3D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3%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0D3CAF3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5,8%</w:t>
            </w:r>
          </w:p>
        </w:tc>
      </w:tr>
      <w:tr w:rsidR="006D2D04" w:rsidRPr="003308F3" w14:paraId="7B239AE3" w14:textId="77777777" w:rsidTr="00DB6387">
        <w:trPr>
          <w:trHeight w:val="285"/>
        </w:trPr>
        <w:tc>
          <w:tcPr>
            <w:tcW w:w="2423" w:type="dxa"/>
            <w:shd w:val="clear" w:color="auto" w:fill="auto"/>
            <w:vAlign w:val="bottom"/>
          </w:tcPr>
          <w:p w14:paraId="658BB248" w14:textId="77777777" w:rsidR="006D2D04" w:rsidRPr="003308F3" w:rsidRDefault="006D2D04" w:rsidP="006D2D04">
            <w:pPr>
              <w:spacing w:line="360" w:lineRule="auto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wielozadaniowy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3B436C0B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4,9%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494AD73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6,2%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6CEEB3E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5,4%</w:t>
            </w:r>
          </w:p>
        </w:tc>
      </w:tr>
      <w:tr w:rsidR="006D2D04" w:rsidRPr="003308F3" w14:paraId="2F46164C" w14:textId="77777777" w:rsidTr="00DB6387">
        <w:trPr>
          <w:trHeight w:val="285"/>
        </w:trPr>
        <w:tc>
          <w:tcPr>
            <w:tcW w:w="2423" w:type="dxa"/>
            <w:shd w:val="clear" w:color="auto" w:fill="auto"/>
            <w:vAlign w:val="bottom"/>
          </w:tcPr>
          <w:p w14:paraId="1FF9EFED" w14:textId="77777777" w:rsidR="006D2D04" w:rsidRPr="003308F3" w:rsidRDefault="006D2D04" w:rsidP="006D2D04">
            <w:pPr>
              <w:spacing w:line="360" w:lineRule="auto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komunikacyjny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52761B82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7,6%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80A1DD9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0,4%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727DC95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4,9%</w:t>
            </w:r>
          </w:p>
        </w:tc>
      </w:tr>
      <w:tr w:rsidR="006D2D04" w:rsidRPr="003308F3" w14:paraId="5F515155" w14:textId="77777777" w:rsidTr="00DB6387">
        <w:trPr>
          <w:trHeight w:val="285"/>
        </w:trPr>
        <w:tc>
          <w:tcPr>
            <w:tcW w:w="2423" w:type="dxa"/>
            <w:shd w:val="clear" w:color="auto" w:fill="auto"/>
            <w:vAlign w:val="bottom"/>
          </w:tcPr>
          <w:p w14:paraId="2ED2371B" w14:textId="77777777" w:rsidR="006D2D04" w:rsidRPr="003308F3" w:rsidRDefault="006D2D04" w:rsidP="006D2D04">
            <w:pPr>
              <w:spacing w:line="360" w:lineRule="auto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 xml:space="preserve">odzieżowy </w:t>
            </w:r>
            <w:r w:rsidRPr="003308F3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♀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5198C3F3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0,2%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CA22382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10,5%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3391116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4,1%</w:t>
            </w:r>
          </w:p>
        </w:tc>
      </w:tr>
      <w:tr w:rsidR="006D2D04" w:rsidRPr="003308F3" w14:paraId="0E42D612" w14:textId="77777777" w:rsidTr="00DB6387">
        <w:trPr>
          <w:trHeight w:val="285"/>
        </w:trPr>
        <w:tc>
          <w:tcPr>
            <w:tcW w:w="2423" w:type="dxa"/>
            <w:shd w:val="clear" w:color="auto" w:fill="auto"/>
            <w:vAlign w:val="bottom"/>
          </w:tcPr>
          <w:p w14:paraId="4DAA09A3" w14:textId="77777777" w:rsidR="006D2D04" w:rsidRPr="003308F3" w:rsidRDefault="006D2D04" w:rsidP="006D2D04">
            <w:pPr>
              <w:spacing w:line="360" w:lineRule="auto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 xml:space="preserve">gastronomiczny </w:t>
            </w:r>
            <w:r w:rsidRPr="003308F3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♀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0F40914D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0,5%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B12FDB5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9,3%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29BCE36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3,8%</w:t>
            </w:r>
          </w:p>
        </w:tc>
      </w:tr>
      <w:tr w:rsidR="006D2D04" w:rsidRPr="003308F3" w14:paraId="08165EF4" w14:textId="77777777" w:rsidTr="00DB6387">
        <w:trPr>
          <w:trHeight w:val="285"/>
        </w:trPr>
        <w:tc>
          <w:tcPr>
            <w:tcW w:w="2423" w:type="dxa"/>
            <w:shd w:val="clear" w:color="auto" w:fill="auto"/>
            <w:vAlign w:val="bottom"/>
          </w:tcPr>
          <w:p w14:paraId="351B2BF5" w14:textId="77777777" w:rsidR="006D2D04" w:rsidRPr="003308F3" w:rsidRDefault="006D2D04" w:rsidP="006D2D04">
            <w:pPr>
              <w:spacing w:line="360" w:lineRule="auto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 xml:space="preserve">spożywczy </w:t>
            </w:r>
            <w:r w:rsidRPr="003308F3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♀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6E72316A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1,2%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DDEA06D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4,8%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0BD453F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2,6%</w:t>
            </w:r>
          </w:p>
        </w:tc>
      </w:tr>
      <w:tr w:rsidR="006D2D04" w:rsidRPr="003308F3" w14:paraId="0104B52E" w14:textId="77777777" w:rsidTr="00DB6387">
        <w:trPr>
          <w:trHeight w:val="285"/>
        </w:trPr>
        <w:tc>
          <w:tcPr>
            <w:tcW w:w="2423" w:type="dxa"/>
            <w:shd w:val="clear" w:color="auto" w:fill="auto"/>
            <w:vAlign w:val="bottom"/>
          </w:tcPr>
          <w:p w14:paraId="5D455AAE" w14:textId="77777777" w:rsidR="006D2D04" w:rsidRPr="003308F3" w:rsidRDefault="006D2D04" w:rsidP="006D2D04">
            <w:pPr>
              <w:spacing w:line="360" w:lineRule="auto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drzewny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48B4AD36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2,8%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665CEF3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2,2%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AC1346B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2,6%</w:t>
            </w:r>
          </w:p>
        </w:tc>
      </w:tr>
      <w:tr w:rsidR="006D2D04" w:rsidRPr="003308F3" w14:paraId="0828E9A6" w14:textId="77777777" w:rsidTr="00DB6387">
        <w:trPr>
          <w:trHeight w:val="285"/>
        </w:trPr>
        <w:tc>
          <w:tcPr>
            <w:tcW w:w="2423" w:type="dxa"/>
            <w:shd w:val="clear" w:color="auto" w:fill="auto"/>
            <w:vAlign w:val="bottom"/>
          </w:tcPr>
          <w:p w14:paraId="2CA7640E" w14:textId="77777777" w:rsidR="006D2D04" w:rsidRPr="003308F3" w:rsidRDefault="006D2D04" w:rsidP="006D2D04">
            <w:pPr>
              <w:spacing w:line="360" w:lineRule="auto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 xml:space="preserve">włókienniczy </w:t>
            </w:r>
            <w:r w:rsidRPr="003308F3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♀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2CB6255C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0,2%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2C40935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4,9%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5A22317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2%</w:t>
            </w:r>
          </w:p>
        </w:tc>
      </w:tr>
      <w:tr w:rsidR="006D2D04" w:rsidRPr="003308F3" w14:paraId="77746311" w14:textId="77777777" w:rsidTr="00DB6387">
        <w:trPr>
          <w:trHeight w:val="285"/>
        </w:trPr>
        <w:tc>
          <w:tcPr>
            <w:tcW w:w="2423" w:type="dxa"/>
            <w:shd w:val="clear" w:color="auto" w:fill="auto"/>
            <w:vAlign w:val="bottom"/>
          </w:tcPr>
          <w:p w14:paraId="249832F0" w14:textId="77777777" w:rsidR="006D2D04" w:rsidRPr="003308F3" w:rsidRDefault="006D2D04" w:rsidP="006D2D04">
            <w:pPr>
              <w:spacing w:line="360" w:lineRule="auto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 xml:space="preserve">pozostałe 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7DE6EC69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5,6%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F088670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8,5%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51A27C4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6,7%</w:t>
            </w:r>
          </w:p>
        </w:tc>
      </w:tr>
      <w:tr w:rsidR="006D2D04" w:rsidRPr="003308F3" w14:paraId="0E29919C" w14:textId="77777777" w:rsidTr="00DB6387">
        <w:trPr>
          <w:trHeight w:val="285"/>
        </w:trPr>
        <w:tc>
          <w:tcPr>
            <w:tcW w:w="24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096D59" w14:textId="77777777" w:rsidR="006D2D04" w:rsidRPr="003308F3" w:rsidRDefault="006D2D04" w:rsidP="006D2D04">
            <w:pPr>
              <w:spacing w:line="360" w:lineRule="auto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ogółem</w:t>
            </w:r>
          </w:p>
        </w:tc>
        <w:tc>
          <w:tcPr>
            <w:tcW w:w="2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B4D802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CF950C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95E2C6" w14:textId="77777777" w:rsidR="006D2D04" w:rsidRPr="003308F3" w:rsidRDefault="006D2D04" w:rsidP="006D2D04">
            <w:pPr>
              <w:spacing w:line="360" w:lineRule="auto"/>
              <w:jc w:val="center"/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308F3">
              <w:rPr>
                <w:rFonts w:ascii="Times New Roman" w:eastAsia="Czcionka tekstu podstawowego" w:hAnsi="Times New Roman" w:cs="Times New Roman"/>
                <w:color w:val="262626" w:themeColor="text1" w:themeTint="D9"/>
                <w:sz w:val="20"/>
                <w:szCs w:val="20"/>
              </w:rPr>
              <w:t>100</w:t>
            </w:r>
          </w:p>
        </w:tc>
      </w:tr>
    </w:tbl>
    <w:p w14:paraId="6BC3D2AE" w14:textId="77777777" w:rsidR="006D2D04" w:rsidRPr="006D2D04" w:rsidRDefault="006D2D04" w:rsidP="006D2D04">
      <w:pPr>
        <w:spacing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  <w:r w:rsidRPr="006D2D04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  <w:t>Źródło: Zawistowska, 2015.</w:t>
      </w:r>
    </w:p>
    <w:p w14:paraId="52764237" w14:textId="77777777" w:rsidR="006D2D04" w:rsidRPr="006D2D04" w:rsidRDefault="006D2D04" w:rsidP="006D2D04">
      <w:pPr>
        <w:spacing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highlight w:val="white"/>
        </w:rPr>
      </w:pPr>
      <w:r w:rsidRPr="006D2D04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  <w:t>* Wielkość kierunku to odsetek uczniów na danym kierunku wśród ogółu uczniów danych szkół. Znakiem ♀ oznaczono kierunki sfeminizowane, na których kobiety stanowiły ponad 70% wszystkich uczniów.</w:t>
      </w:r>
    </w:p>
    <w:p w14:paraId="1DD70C21" w14:textId="77777777" w:rsidR="006D2D04" w:rsidRPr="006D2D04" w:rsidRDefault="006D2D04" w:rsidP="006D2D04">
      <w:pPr>
        <w:spacing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highlight w:val="white"/>
        </w:rPr>
      </w:pPr>
    </w:p>
    <w:sectPr w:rsidR="006D2D04" w:rsidRPr="006D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Cambria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FC"/>
    <w:rsid w:val="003308F3"/>
    <w:rsid w:val="00365089"/>
    <w:rsid w:val="00573CC3"/>
    <w:rsid w:val="00597E5B"/>
    <w:rsid w:val="006D2D04"/>
    <w:rsid w:val="007141DB"/>
    <w:rsid w:val="007934C5"/>
    <w:rsid w:val="008B3F19"/>
    <w:rsid w:val="00E458FC"/>
    <w:rsid w:val="00E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9CFB"/>
  <w15:chartTrackingRefBased/>
  <w15:docId w15:val="{2996123A-B457-465D-A2AB-4ABD6686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D04"/>
    <w:pPr>
      <w:spacing w:after="0" w:line="276" w:lineRule="auto"/>
    </w:pPr>
    <w:rPr>
      <w:rFonts w:ascii="Arial" w:eastAsia="Arial" w:hAnsi="Arial" w:cs="Arial Unicode MS"/>
      <w:color w:val="000000"/>
      <w:kern w:val="0"/>
      <w:u w:color="00000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58F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58F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8F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58F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58F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58F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58F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58F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58F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58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58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58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58F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58F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58F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58F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58F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58F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458FC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E458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58F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E458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458F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E458F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458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E458F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458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458F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458FC"/>
    <w:rPr>
      <w:b/>
      <w:bCs/>
      <w:smallCaps/>
      <w:color w:val="0F4761" w:themeColor="accent1" w:themeShade="BF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2D04"/>
    <w:pPr>
      <w:spacing w:after="200" w:line="240" w:lineRule="auto"/>
    </w:pPr>
    <w:rPr>
      <w:rFonts w:ascii="Calibri" w:eastAsia="Calibri" w:hAnsi="Calibri" w:cs="Calibr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2D04"/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table" w:customStyle="1" w:styleId="41">
    <w:name w:val="41"/>
    <w:basedOn w:val="Standardowy"/>
    <w:rsid w:val="006D2D04"/>
    <w:pPr>
      <w:spacing w:after="0" w:line="240" w:lineRule="auto"/>
    </w:pPr>
    <w:rPr>
      <w:rFonts w:ascii="Calibri" w:eastAsia="Calibri" w:hAnsi="Calibri" w:cs="Calibri"/>
      <w:kern w:val="0"/>
      <w:lang w:eastAsia="pl-PL"/>
      <w14:ligatures w14:val="none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0"/>
    <w:basedOn w:val="Standardowy"/>
    <w:rsid w:val="006D2D04"/>
    <w:pPr>
      <w:spacing w:after="0" w:line="240" w:lineRule="auto"/>
    </w:pPr>
    <w:rPr>
      <w:rFonts w:ascii="Calibri" w:eastAsia="Calibri" w:hAnsi="Calibri" w:cs="Calibri"/>
      <w:kern w:val="0"/>
      <w:lang w:eastAsia="pl-PL"/>
      <w14:ligatures w14:val="none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Brzoza</dc:creator>
  <cp:keywords/>
  <dc:description/>
  <cp:lastModifiedBy>Beata Maluchnik</cp:lastModifiedBy>
  <cp:revision>4</cp:revision>
  <dcterms:created xsi:type="dcterms:W3CDTF">2024-02-22T07:04:00Z</dcterms:created>
  <dcterms:modified xsi:type="dcterms:W3CDTF">2024-02-23T16:13:00Z</dcterms:modified>
</cp:coreProperties>
</file>