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1B0B8D9B"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6A01A4">
              <w:rPr>
                <w:lang w:val="pl-PL"/>
              </w:rPr>
              <w:t>7</w:t>
            </w:r>
            <w:r w:rsidR="007141E8">
              <w:rPr>
                <w:lang w:val="pl-PL"/>
              </w:rPr>
              <w:t>1</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1 Przedmiot Umowy</w:t>
            </w:r>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(on-arrival training) oraz spotkań ewaluacyjnych dla wolontariuszy (mid-term evaluation) pracujących w krajach PW, dorocznych spotkań koordynatorów projektów wolontariackich EKS, dorocznych spotkań byłych wolontariuszy (annual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Warunki realizacji Umowy</w:t>
            </w:r>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D03A1B9" w:rsidR="00B06C90" w:rsidRPr="006A01A4" w:rsidRDefault="00F33466" w:rsidP="006A01A4">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0E985A6C"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zryczałtowane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Wykonawcy nie przysługują jakiekolwiek roszczenia względem Zamawiającego w przypadku niezlecenia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r w:rsidRPr="00472C9D">
              <w:rPr>
                <w:rFonts w:eastAsia="Calibri"/>
                <w:lang w:eastAsia="en-US"/>
              </w:rPr>
              <w:t>Zamawiający nie pokrywa kosztów biletów dla opiekuna.</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r w:rsidRPr="00472C9D">
              <w:rPr>
                <w:b/>
              </w:rPr>
              <w:t xml:space="preserve">Zmiany Umowy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Kary umowne</w:t>
            </w:r>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r w:rsidRPr="00472C9D">
              <w:rPr>
                <w:b/>
              </w:rPr>
              <w:t>Rozwiązanie stosunku umownego</w:t>
            </w:r>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r w:rsidRPr="00472C9D">
              <w:t>Dopiero po upływie wyznaczonego terminu, wypowiedzenie staje się skuteczne;</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r w:rsidRPr="00472C9D">
              <w:rPr>
                <w:b/>
              </w:rPr>
              <w:t>Siła wyższa</w:t>
            </w:r>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r w:rsidRPr="00472C9D">
              <w:rPr>
                <w:b/>
              </w:rPr>
              <w:t>Postanowienia końcowe</w:t>
            </w:r>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Brak certyfikatu spowoduje naliczenie podatku wg prawa polskiego.</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1DEB67EE"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angielskim,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7C171A6D" w:rsidR="00F33466" w:rsidRPr="00472C9D" w:rsidRDefault="00F33466" w:rsidP="00472C9D">
            <w:pPr>
              <w:jc w:val="center"/>
            </w:pPr>
            <w:r w:rsidRPr="00472C9D">
              <w:t>The Contract concluded on .......................... in Warsaw,</w:t>
            </w:r>
            <w:r w:rsidRPr="00472C9D">
              <w:br/>
              <w:t>as a result of a Request for Proposals procedure no.</w:t>
            </w:r>
          </w:p>
          <w:p w14:paraId="081AF067" w14:textId="434E7628" w:rsidR="00F33466" w:rsidRPr="00472C9D" w:rsidRDefault="00B06C90" w:rsidP="00472C9D">
            <w:pPr>
              <w:jc w:val="center"/>
            </w:pPr>
            <w:r>
              <w:t>Dzp.262.1</w:t>
            </w:r>
            <w:r w:rsidR="006A01A4">
              <w:t>7</w:t>
            </w:r>
            <w:r w:rsidR="007141E8">
              <w:t>1</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Jerozolimskie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For not meeting the deadline for submitting a report on training as referred to in Article</w:t>
            </w:r>
            <w:r w:rsidRPr="00472C9D">
              <w:rPr>
                <w:b/>
                <w:bCs/>
              </w:rPr>
              <w:t xml:space="preserve"> 3(2)</w:t>
            </w:r>
            <w:r w:rsidRPr="00472C9D">
              <w:rPr>
                <w:bCs/>
              </w:rPr>
              <w:t xml:space="preserve">, the Contractor may require the </w:t>
            </w:r>
            <w:r w:rsidRPr="00472C9D">
              <w:rPr>
                <w:bCs/>
              </w:rPr>
              <w:lastRenderedPageBreak/>
              <w:t xml:space="preserve">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r>
              <w:rPr>
                <w:b/>
                <w:sz w:val="20"/>
                <w:szCs w:val="20"/>
              </w:rPr>
              <w:lastRenderedPageBreak/>
              <w:t xml:space="preserve">Wykonawca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r>
              <w:rPr>
                <w:b/>
                <w:sz w:val="20"/>
                <w:szCs w:val="20"/>
              </w:rPr>
              <w:t xml:space="preserve">Zamawiający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3565563C" w14:textId="77777777" w:rsidR="006A01A4" w:rsidRDefault="006A01A4">
      <w:pPr>
        <w:rPr>
          <w:lang w:val="en-US"/>
        </w:rPr>
      </w:pPr>
    </w:p>
    <w:p w14:paraId="18549125" w14:textId="77777777" w:rsidR="006A01A4" w:rsidRDefault="006A01A4">
      <w:pPr>
        <w:rPr>
          <w:lang w:val="en-US"/>
        </w:rPr>
      </w:pPr>
    </w:p>
    <w:p w14:paraId="62BBB6E6" w14:textId="77777777" w:rsidR="006A01A4" w:rsidRDefault="006A01A4">
      <w:pPr>
        <w:rPr>
          <w:lang w:val="en-US"/>
        </w:rPr>
      </w:pPr>
    </w:p>
    <w:p w14:paraId="670F3BFB" w14:textId="77777777" w:rsidR="006A01A4" w:rsidRDefault="006A01A4">
      <w:pPr>
        <w:rPr>
          <w:lang w:val="en-US"/>
        </w:rPr>
      </w:pPr>
    </w:p>
    <w:p w14:paraId="2BA4E26B" w14:textId="77777777" w:rsidR="006A01A4" w:rsidRDefault="006A01A4">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r>
        <w:rPr>
          <w:lang w:val="en-US"/>
        </w:rPr>
        <w:t>Załącznik nr 2 do Umowy</w:t>
      </w:r>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r w:rsidRPr="00A303E9">
        <w:rPr>
          <w:rFonts w:ascii="Calibri" w:hAnsi="Calibri"/>
        </w:rPr>
        <w:t>dnia:………………………….</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r>
        <w:rPr>
          <w:rFonts w:ascii="Calibri" w:hAnsi="Calibri"/>
          <w:sz w:val="16"/>
          <w:szCs w:val="16"/>
        </w:rPr>
        <w:t>i</w:t>
      </w:r>
      <w:r w:rsidRPr="000644A2">
        <w:rPr>
          <w:rFonts w:ascii="Calibri" w:hAnsi="Calibri"/>
          <w:sz w:val="16"/>
          <w:szCs w:val="16"/>
        </w:rPr>
        <w:t>mię i nazwisko)</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r>
        <w:rPr>
          <w:rFonts w:ascii="Calibri" w:hAnsi="Calibri"/>
          <w:sz w:val="16"/>
          <w:szCs w:val="16"/>
        </w:rPr>
        <w:t>a</w:t>
      </w:r>
      <w:r w:rsidRPr="000644A2">
        <w:rPr>
          <w:rFonts w:ascii="Calibri" w:hAnsi="Calibri"/>
          <w:sz w:val="16"/>
          <w:szCs w:val="16"/>
        </w:rPr>
        <w:t>dres pracownika)</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r w:rsidRPr="000644A2">
        <w:rPr>
          <w:rFonts w:ascii="Calibri" w:hAnsi="Calibri"/>
          <w:sz w:val="22"/>
          <w:szCs w:val="22"/>
        </w:rPr>
        <w:t>Oświadczam, że w miesiącu ………………………….. r</w:t>
      </w:r>
      <w:r>
        <w:rPr>
          <w:rFonts w:ascii="Calibri" w:hAnsi="Calibri"/>
          <w:sz w:val="22"/>
          <w:szCs w:val="22"/>
        </w:rPr>
        <w:t>oku …………..</w:t>
      </w:r>
      <w:r w:rsidRPr="000644A2">
        <w:rPr>
          <w:rFonts w:ascii="Calibri" w:hAnsi="Calibri"/>
          <w:sz w:val="22"/>
          <w:szCs w:val="22"/>
        </w:rPr>
        <w:t xml:space="preserve"> przepracowałam/em ………… godzin, w ramach realizacji przedmiotu umowy </w:t>
      </w:r>
      <w:r>
        <w:rPr>
          <w:rFonts w:ascii="Calibri" w:hAnsi="Calibri" w:cs="Tahoma"/>
          <w:sz w:val="22"/>
          <w:szCs w:val="22"/>
        </w:rPr>
        <w:t>numer………………………………………………………………</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(podpis Zleceniobiorcy)</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607968"/>
    <w:rsid w:val="006420BB"/>
    <w:rsid w:val="006776E8"/>
    <w:rsid w:val="006A01A4"/>
    <w:rsid w:val="006C5280"/>
    <w:rsid w:val="007141E8"/>
    <w:rsid w:val="00716E08"/>
    <w:rsid w:val="007632CA"/>
    <w:rsid w:val="007D095D"/>
    <w:rsid w:val="00855E0B"/>
    <w:rsid w:val="008A3651"/>
    <w:rsid w:val="008B277B"/>
    <w:rsid w:val="00951451"/>
    <w:rsid w:val="00955DD6"/>
    <w:rsid w:val="00983651"/>
    <w:rsid w:val="00A162A6"/>
    <w:rsid w:val="00B06C90"/>
    <w:rsid w:val="00BA0787"/>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5947</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4</cp:revision>
  <dcterms:created xsi:type="dcterms:W3CDTF">2023-12-12T14:41:00Z</dcterms:created>
  <dcterms:modified xsi:type="dcterms:W3CDTF">2023-12-13T11:50:00Z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