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504A0B01" w:rsidR="00B67D14" w:rsidRPr="005911CD" w:rsidRDefault="005911CD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  <w:r w:rsidRPr="005911CD">
        <w:rPr>
          <w:rFonts w:ascii="Georgia" w:eastAsia="Arial" w:hAnsi="Georgia" w:cs="Arial"/>
          <w:sz w:val="22"/>
        </w:rPr>
        <w:t>Załącznik nr 2</w:t>
      </w:r>
      <w:r w:rsidR="00B420D9">
        <w:rPr>
          <w:rFonts w:ascii="Georgia" w:eastAsia="Arial" w:hAnsi="Georgia" w:cs="Arial"/>
          <w:sz w:val="22"/>
        </w:rPr>
        <w:t xml:space="preserve"> do zapytania ofertowego</w:t>
      </w:r>
      <w:r w:rsidR="00C012A8" w:rsidRPr="005911CD">
        <w:rPr>
          <w:rFonts w:ascii="Georgia" w:eastAsia="Arial" w:hAnsi="Georgia" w:cs="Arial"/>
          <w:sz w:val="22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63BE20F6" w14:textId="679E766B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A272E3">
        <w:rPr>
          <w:iCs/>
          <w:sz w:val="22"/>
        </w:rPr>
        <w:t>1</w:t>
      </w:r>
      <w:r w:rsidR="00CB27EA">
        <w:rPr>
          <w:iCs/>
          <w:sz w:val="22"/>
        </w:rPr>
        <w:t>37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36A6F59" w14:textId="1E5FECD7" w:rsidR="00A272E3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>Przedmiotem Umowy jest</w:t>
      </w:r>
      <w:r w:rsidRPr="00A272E3">
        <w:rPr>
          <w:b/>
          <w:bCs/>
          <w:sz w:val="22"/>
          <w:szCs w:val="22"/>
        </w:rPr>
        <w:t xml:space="preserve"> </w:t>
      </w:r>
      <w:r w:rsidR="00A272E3" w:rsidRPr="00A272E3">
        <w:rPr>
          <w:b/>
          <w:bCs/>
          <w:sz w:val="22"/>
          <w:szCs w:val="22"/>
        </w:rPr>
        <w:t xml:space="preserve">świadczenie usługi hotelarsko-gastronomicznej </w:t>
      </w:r>
      <w:r w:rsidR="00CB27EA" w:rsidRPr="00CB27EA">
        <w:rPr>
          <w:b/>
          <w:bCs/>
          <w:sz w:val="22"/>
          <w:szCs w:val="22"/>
        </w:rPr>
        <w:t xml:space="preserve">w tym wynajmu </w:t>
      </w:r>
      <w:proofErr w:type="spellStart"/>
      <w:r w:rsidR="00CB27EA" w:rsidRPr="00CB27EA">
        <w:rPr>
          <w:b/>
          <w:bCs/>
          <w:sz w:val="22"/>
          <w:szCs w:val="22"/>
        </w:rPr>
        <w:t>sal</w:t>
      </w:r>
      <w:proofErr w:type="spellEnd"/>
      <w:r w:rsidR="00CB27EA" w:rsidRPr="00CB27EA">
        <w:rPr>
          <w:b/>
          <w:bCs/>
          <w:sz w:val="22"/>
          <w:szCs w:val="22"/>
        </w:rPr>
        <w:t xml:space="preserve"> konferencyjnych w celu organizacji konferencji krajowej </w:t>
      </w:r>
      <w:proofErr w:type="spellStart"/>
      <w:r w:rsidR="00CB27EA" w:rsidRPr="00CB27EA">
        <w:rPr>
          <w:b/>
          <w:bCs/>
          <w:sz w:val="22"/>
          <w:szCs w:val="22"/>
        </w:rPr>
        <w:t>eTwinning</w:t>
      </w:r>
      <w:proofErr w:type="spellEnd"/>
      <w:r w:rsidR="00CB27EA" w:rsidRPr="00CB27EA">
        <w:rPr>
          <w:b/>
          <w:bCs/>
          <w:sz w:val="22"/>
          <w:szCs w:val="22"/>
        </w:rPr>
        <w:t xml:space="preserve"> w Zielonej Górze</w:t>
      </w:r>
      <w:r w:rsidR="00A272E3" w:rsidRPr="00A272E3">
        <w:rPr>
          <w:b/>
          <w:bCs/>
          <w:sz w:val="22"/>
          <w:szCs w:val="22"/>
        </w:rPr>
        <w:t>.</w:t>
      </w:r>
    </w:p>
    <w:p w14:paraId="64B61CE0" w14:textId="5672F694" w:rsidR="008B3375" w:rsidRPr="00A272E3" w:rsidRDefault="008B3375" w:rsidP="00560F6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A272E3">
        <w:rPr>
          <w:sz w:val="22"/>
          <w:szCs w:val="22"/>
        </w:rPr>
        <w:t xml:space="preserve">Usługa świadczona w oparciu o Umowę powinna odpowiadać wymaganiom określonym przez Zamawiającego w </w:t>
      </w:r>
      <w:r w:rsidRPr="00A272E3">
        <w:rPr>
          <w:b/>
          <w:sz w:val="22"/>
          <w:szCs w:val="22"/>
        </w:rPr>
        <w:t>opisie przedmiotu zamówienia</w:t>
      </w:r>
      <w:r w:rsidRPr="00A272E3">
        <w:rPr>
          <w:sz w:val="22"/>
          <w:szCs w:val="22"/>
        </w:rPr>
        <w:t xml:space="preserve"> stanowiącym załącznik nr 1 do Umowy oraz w </w:t>
      </w:r>
      <w:r w:rsidRPr="00A272E3">
        <w:rPr>
          <w:b/>
          <w:sz w:val="22"/>
          <w:szCs w:val="22"/>
        </w:rPr>
        <w:t>formularzu oferty</w:t>
      </w:r>
      <w:r w:rsidRPr="00A272E3">
        <w:rPr>
          <w:sz w:val="22"/>
          <w:szCs w:val="22"/>
        </w:rPr>
        <w:t xml:space="preserve"> Wykonawcy z dnia </w:t>
      </w:r>
      <w:r w:rsidR="00BA1E04" w:rsidRPr="00A272E3">
        <w:rPr>
          <w:sz w:val="22"/>
          <w:szCs w:val="22"/>
        </w:rPr>
        <w:t>….</w:t>
      </w:r>
      <w:r w:rsidRPr="00A272E3">
        <w:rPr>
          <w:sz w:val="22"/>
          <w:szCs w:val="22"/>
        </w:rPr>
        <w:t xml:space="preserve">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293B2EBC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CB27EA">
        <w:rPr>
          <w:b/>
          <w:bCs/>
          <w:sz w:val="22"/>
        </w:rPr>
        <w:t>3-5 listopada</w:t>
      </w:r>
      <w:r w:rsidR="00E6567A" w:rsidRPr="00E6567A">
        <w:rPr>
          <w:b/>
          <w:bCs/>
          <w:sz w:val="22"/>
        </w:rPr>
        <w:t xml:space="preserve"> 2023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35FB440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</w:t>
      </w:r>
      <w:r w:rsidR="00851B52">
        <w:rPr>
          <w:sz w:val="22"/>
        </w:rPr>
        <w:t xml:space="preserve">wynikowe </w:t>
      </w:r>
      <w:r w:rsidRPr="001E2AA6">
        <w:rPr>
          <w:sz w:val="22"/>
        </w:rPr>
        <w:t xml:space="preserve">maksymalne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BA1E0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3BBFE0F4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9F77E07" w14:textId="77777777" w:rsidR="00F01521" w:rsidRDefault="00F01521" w:rsidP="00F01521">
      <w:pPr>
        <w:spacing w:after="120" w:line="240" w:lineRule="auto"/>
        <w:rPr>
          <w:sz w:val="22"/>
        </w:rPr>
      </w:pPr>
    </w:p>
    <w:p w14:paraId="04ECCC6C" w14:textId="77777777" w:rsidR="00F01521" w:rsidRPr="00A70B35" w:rsidRDefault="00F01521" w:rsidP="00F01521">
      <w:pPr>
        <w:spacing w:after="120" w:line="240" w:lineRule="auto"/>
        <w:rPr>
          <w:sz w:val="22"/>
        </w:rPr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31310049" w14:textId="77777777" w:rsidR="00C0200A" w:rsidRDefault="008B3375" w:rsidP="00C0200A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165D0354" w14:textId="0E06AD3F" w:rsidR="00C0200A" w:rsidRPr="00C0200A" w:rsidRDefault="00C0200A" w:rsidP="00C0200A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0200A">
        <w:rPr>
          <w:sz w:val="22"/>
        </w:rPr>
        <w:t>Zamawiający zobowiązuje się informować o specjalistycznych dietach uczestników na 3 dni kalendarzowych przed dniem rozpoczęcia realizacji usług.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704BE942" w14:textId="48A1BF6B" w:rsidR="001B5BE8" w:rsidRPr="00A272E3" w:rsidRDefault="008B3375" w:rsidP="00A272E3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>wymogów określonych dla miejsca świadczenia usługi, a w szczególności: standardu obiektu</w:t>
      </w:r>
      <w:r w:rsidR="001B5BE8">
        <w:rPr>
          <w:sz w:val="22"/>
        </w:rPr>
        <w:t>,</w:t>
      </w:r>
    </w:p>
    <w:p w14:paraId="2B407746" w14:textId="77777777" w:rsidR="001B5BE8" w:rsidRDefault="001B5BE8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>
        <w:rPr>
          <w:sz w:val="22"/>
        </w:rPr>
        <w:t>okoliczności wskazane w § 5 ust. 2 Umowy,</w:t>
      </w:r>
    </w:p>
    <w:p w14:paraId="4914FE5E" w14:textId="679E5E7B" w:rsidR="008B05F5" w:rsidRPr="001B5BE8" w:rsidRDefault="008B05F5" w:rsidP="001B5BE8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B5BE8">
        <w:rPr>
          <w:sz w:val="22"/>
        </w:rPr>
        <w:t xml:space="preserve">niespełnianie przewidzianych w </w:t>
      </w:r>
      <w:r w:rsidRPr="001B5BE8">
        <w:rPr>
          <w:b/>
          <w:sz w:val="22"/>
        </w:rPr>
        <w:t>opisie przedmiotu zamówienia</w:t>
      </w:r>
      <w:r w:rsidRPr="001B5BE8">
        <w:rPr>
          <w:sz w:val="22"/>
        </w:rPr>
        <w:t xml:space="preserve"> wymogów dla usług polegających na zapewnieniu wyżywienia, a w szczególności: braków w zakresie składników, zastrzeżeń w zakresie świeżości serwowanych produktów, wyglądu i kultury obsługi lub wyglądu zastawy.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57A509E3" w14:textId="01ADC340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3FE4C56A" w:rsidR="008B3375" w:rsidRDefault="00C0200A" w:rsidP="00C0200A">
      <w:pPr>
        <w:pStyle w:val="Tekstpodstawowy"/>
        <w:tabs>
          <w:tab w:val="left" w:pos="3915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25A0E53" w14:textId="77777777" w:rsidR="00C0200A" w:rsidRDefault="00C0200A" w:rsidP="00C0200A">
      <w:pPr>
        <w:pStyle w:val="Tekstpodstawowy"/>
        <w:tabs>
          <w:tab w:val="left" w:pos="3915"/>
        </w:tabs>
        <w:spacing w:after="120"/>
        <w:rPr>
          <w:b/>
          <w:sz w:val="22"/>
          <w:szCs w:val="22"/>
        </w:rPr>
      </w:pPr>
    </w:p>
    <w:p w14:paraId="3B910174" w14:textId="77777777" w:rsidR="00C0200A" w:rsidRDefault="00C0200A" w:rsidP="00C0200A">
      <w:pPr>
        <w:pStyle w:val="Tekstpodstawowy"/>
        <w:tabs>
          <w:tab w:val="left" w:pos="3915"/>
        </w:tabs>
        <w:spacing w:after="120"/>
        <w:rPr>
          <w:b/>
          <w:sz w:val="22"/>
          <w:szCs w:val="22"/>
        </w:rPr>
      </w:pPr>
    </w:p>
    <w:p w14:paraId="4EE79D89" w14:textId="2CF0DDE3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lastRenderedPageBreak/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</w:t>
      </w:r>
      <w:r w:rsidR="00EC352C">
        <w:rPr>
          <w:b/>
          <w:spacing w:val="10"/>
          <w:sz w:val="22"/>
          <w:lang w:eastAsia="ar-SA"/>
        </w:rPr>
        <w:t xml:space="preserve"> od</w:t>
      </w:r>
      <w:r w:rsidR="002A139F">
        <w:rPr>
          <w:b/>
          <w:spacing w:val="10"/>
          <w:sz w:val="22"/>
          <w:lang w:eastAsia="ar-SA"/>
        </w:rPr>
        <w:t xml:space="preserve">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6EC9EE94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Zamawiający oświadcza, że nie ponosi odpowiedzialności </w:t>
      </w:r>
      <w:r w:rsidR="00002F70">
        <w:rPr>
          <w:sz w:val="22"/>
        </w:rPr>
        <w:t>za</w:t>
      </w:r>
      <w:r w:rsidR="00002F70" w:rsidRPr="00190A8A">
        <w:rPr>
          <w:sz w:val="22"/>
        </w:rPr>
        <w:t xml:space="preserve"> </w:t>
      </w:r>
      <w:r w:rsidRPr="00190A8A">
        <w:rPr>
          <w:sz w:val="22"/>
        </w:rPr>
        <w:t>roszcze</w:t>
      </w:r>
      <w:r w:rsidR="00002F70">
        <w:rPr>
          <w:sz w:val="22"/>
        </w:rPr>
        <w:t>nia</w:t>
      </w:r>
      <w:r w:rsidRPr="00190A8A">
        <w:rPr>
          <w:sz w:val="22"/>
        </w:rPr>
        <w:t xml:space="preserve"> wynikając</w:t>
      </w:r>
      <w:r w:rsidR="00002F70">
        <w:rPr>
          <w:sz w:val="22"/>
        </w:rPr>
        <w:t>e</w:t>
      </w:r>
      <w:r w:rsidRPr="00190A8A">
        <w:rPr>
          <w:sz w:val="22"/>
        </w:rPr>
        <w:t xml:space="preserve">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</w:t>
      </w:r>
      <w:r w:rsidR="00002C6D">
        <w:rPr>
          <w:sz w:val="22"/>
        </w:rPr>
        <w:t xml:space="preserve"> w razie takiego ustalenia z danym gościem</w:t>
      </w:r>
      <w:r w:rsidR="00002C6D" w:rsidRPr="00190A8A">
        <w:rPr>
          <w:sz w:val="22"/>
        </w:rPr>
        <w:t>.</w:t>
      </w:r>
      <w:r w:rsidR="00002C6D">
        <w:rPr>
          <w:sz w:val="22"/>
        </w:rPr>
        <w:t xml:space="preserve"> Dla uniknięcia wątpliwości brak zgody danego gościa na udzielenie gwarancji nie upoważnia Wykonawcy do ograniczenia zakresu usług przewidzianych niniejszą umową ani odmowy przyjęcia danego gościa</w:t>
      </w:r>
      <w:r w:rsidRPr="00190A8A">
        <w:rPr>
          <w:sz w:val="22"/>
        </w:rPr>
        <w:t>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0408010A" w14:textId="77777777" w:rsidR="00C0200A" w:rsidRDefault="00C0200A" w:rsidP="00C0200A">
      <w:pPr>
        <w:spacing w:after="120" w:line="240" w:lineRule="auto"/>
        <w:ind w:left="284" w:firstLine="0"/>
        <w:rPr>
          <w:sz w:val="22"/>
        </w:rPr>
      </w:pPr>
    </w:p>
    <w:p w14:paraId="5DB469A0" w14:textId="77777777" w:rsidR="00C0200A" w:rsidRPr="00190A8A" w:rsidRDefault="00C0200A" w:rsidP="00C0200A">
      <w:pPr>
        <w:spacing w:after="120" w:line="240" w:lineRule="auto"/>
        <w:ind w:left="284" w:firstLine="0"/>
        <w:rPr>
          <w:sz w:val="22"/>
        </w:rPr>
      </w:pPr>
    </w:p>
    <w:p w14:paraId="681ED368" w14:textId="662E79E0" w:rsidR="003E6AEB" w:rsidRDefault="003E6AEB" w:rsidP="00A272E3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317646">
        <w:rPr>
          <w:rFonts w:ascii="Georgia" w:hAnsi="Georgia"/>
        </w:rPr>
        <w:t>Umowa zostaje zawarta z dniem jej podpisania przez należycie umocowanych przedstawicieli Stron. Jeżeli podpisy przedstawicieli zostały złożone w różnych terminach, za datę zawarcia Umowy przyjmuje się datę złożenia ostatniego podpisu</w:t>
      </w:r>
      <w:r>
        <w:rPr>
          <w:rFonts w:ascii="Georgia" w:hAnsi="Georgia"/>
        </w:rPr>
        <w:t>.</w:t>
      </w:r>
    </w:p>
    <w:p w14:paraId="02D61B75" w14:textId="7E784C94" w:rsidR="00F70623" w:rsidRPr="00A272E3" w:rsidRDefault="008B3375" w:rsidP="00A272E3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A846" w14:textId="77777777" w:rsidR="002F0141" w:rsidRDefault="002F0141" w:rsidP="00C572AE">
      <w:pPr>
        <w:spacing w:after="0" w:line="240" w:lineRule="auto"/>
      </w:pPr>
      <w:r>
        <w:separator/>
      </w:r>
    </w:p>
  </w:endnote>
  <w:endnote w:type="continuationSeparator" w:id="0">
    <w:p w14:paraId="173672EA" w14:textId="77777777" w:rsidR="002F0141" w:rsidRDefault="002F0141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35EB" w14:textId="77777777" w:rsidR="002F0141" w:rsidRDefault="002F0141" w:rsidP="00C572AE">
      <w:pPr>
        <w:spacing w:after="0" w:line="240" w:lineRule="auto"/>
      </w:pPr>
      <w:r>
        <w:separator/>
      </w:r>
    </w:p>
  </w:footnote>
  <w:footnote w:type="continuationSeparator" w:id="0">
    <w:p w14:paraId="17B6C505" w14:textId="77777777" w:rsidR="002F0141" w:rsidRDefault="002F0141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5018CE56" w:rsidR="00C572AE" w:rsidRDefault="007B3C0C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 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  <w:num w:numId="12" w16cid:durableId="753430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02C6D"/>
    <w:rsid w:val="00002F70"/>
    <w:rsid w:val="000302B8"/>
    <w:rsid w:val="0005713A"/>
    <w:rsid w:val="00057D5E"/>
    <w:rsid w:val="00082E89"/>
    <w:rsid w:val="00087230"/>
    <w:rsid w:val="000E7820"/>
    <w:rsid w:val="000F00E0"/>
    <w:rsid w:val="00167F5C"/>
    <w:rsid w:val="001A1196"/>
    <w:rsid w:val="001B5BE8"/>
    <w:rsid w:val="001E04DA"/>
    <w:rsid w:val="001E06E4"/>
    <w:rsid w:val="001E5DC9"/>
    <w:rsid w:val="0023550F"/>
    <w:rsid w:val="002A139F"/>
    <w:rsid w:val="002A5CE3"/>
    <w:rsid w:val="002C4CDC"/>
    <w:rsid w:val="002F0141"/>
    <w:rsid w:val="002F4705"/>
    <w:rsid w:val="003A37C8"/>
    <w:rsid w:val="003E6AEB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5911CD"/>
    <w:rsid w:val="00610464"/>
    <w:rsid w:val="006345F0"/>
    <w:rsid w:val="00643F63"/>
    <w:rsid w:val="00661AC1"/>
    <w:rsid w:val="00691358"/>
    <w:rsid w:val="006A34CD"/>
    <w:rsid w:val="006E0A8E"/>
    <w:rsid w:val="006F79CD"/>
    <w:rsid w:val="00722E1F"/>
    <w:rsid w:val="007601D0"/>
    <w:rsid w:val="007824DD"/>
    <w:rsid w:val="007B3C0C"/>
    <w:rsid w:val="007D4BA5"/>
    <w:rsid w:val="007E2B76"/>
    <w:rsid w:val="007E35A8"/>
    <w:rsid w:val="008310E8"/>
    <w:rsid w:val="00834831"/>
    <w:rsid w:val="00834E91"/>
    <w:rsid w:val="00851B52"/>
    <w:rsid w:val="008B05F5"/>
    <w:rsid w:val="008B3375"/>
    <w:rsid w:val="008D61B4"/>
    <w:rsid w:val="008D6874"/>
    <w:rsid w:val="00902226"/>
    <w:rsid w:val="00944581"/>
    <w:rsid w:val="00964189"/>
    <w:rsid w:val="00983752"/>
    <w:rsid w:val="009853D1"/>
    <w:rsid w:val="009A155B"/>
    <w:rsid w:val="009B67FF"/>
    <w:rsid w:val="009D2C21"/>
    <w:rsid w:val="00A02373"/>
    <w:rsid w:val="00A272E3"/>
    <w:rsid w:val="00A32CC2"/>
    <w:rsid w:val="00B32B55"/>
    <w:rsid w:val="00B420D9"/>
    <w:rsid w:val="00B5028B"/>
    <w:rsid w:val="00B67D14"/>
    <w:rsid w:val="00BA1E04"/>
    <w:rsid w:val="00BA35BD"/>
    <w:rsid w:val="00BC3402"/>
    <w:rsid w:val="00C012A8"/>
    <w:rsid w:val="00C0200A"/>
    <w:rsid w:val="00C572AE"/>
    <w:rsid w:val="00CB27EA"/>
    <w:rsid w:val="00D17B96"/>
    <w:rsid w:val="00D23539"/>
    <w:rsid w:val="00D854EC"/>
    <w:rsid w:val="00DB093D"/>
    <w:rsid w:val="00DB22AD"/>
    <w:rsid w:val="00DF0B5F"/>
    <w:rsid w:val="00E6567A"/>
    <w:rsid w:val="00E6716A"/>
    <w:rsid w:val="00E87B17"/>
    <w:rsid w:val="00EA0F64"/>
    <w:rsid w:val="00EC352C"/>
    <w:rsid w:val="00EC4886"/>
    <w:rsid w:val="00F01521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4</cp:revision>
  <cp:lastPrinted>2022-12-01T12:04:00Z</cp:lastPrinted>
  <dcterms:created xsi:type="dcterms:W3CDTF">2023-08-11T11:38:00Z</dcterms:created>
  <dcterms:modified xsi:type="dcterms:W3CDTF">2023-10-12T12:28:00Z</dcterms:modified>
</cp:coreProperties>
</file>