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413B17" w:rsidRDefault="00FE0A39" w:rsidP="00E54121">
      <w:pPr>
        <w:pStyle w:val="Tytu"/>
        <w:spacing w:after="120" w:line="276" w:lineRule="auto"/>
        <w:ind w:left="357" w:hanging="357"/>
      </w:pPr>
      <w:r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2439EE07" w:rsidR="00654AE1" w:rsidRPr="00E54121" w:rsidRDefault="00654AE1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E10F59" w:rsidRPr="00E10F59">
        <w:rPr>
          <w:rFonts w:ascii="Georgia" w:hAnsi="Georgia"/>
          <w:b/>
          <w:szCs w:val="22"/>
        </w:rPr>
        <w:t xml:space="preserve">dostawa materiałów i sprzętu niezbędnych do przeprowadzenia konkurencji Wall and </w:t>
      </w:r>
      <w:proofErr w:type="spellStart"/>
      <w:r w:rsidR="00E10F59" w:rsidRPr="00E10F59">
        <w:rPr>
          <w:rFonts w:ascii="Georgia" w:hAnsi="Georgia"/>
          <w:b/>
          <w:szCs w:val="22"/>
        </w:rPr>
        <w:t>Floor</w:t>
      </w:r>
      <w:proofErr w:type="spellEnd"/>
      <w:r w:rsidR="00E10F59" w:rsidRPr="00E10F59">
        <w:rPr>
          <w:rFonts w:ascii="Georgia" w:hAnsi="Georgia"/>
          <w:b/>
          <w:szCs w:val="22"/>
        </w:rPr>
        <w:t xml:space="preserve"> </w:t>
      </w:r>
      <w:proofErr w:type="spellStart"/>
      <w:r w:rsidR="00E10F59" w:rsidRPr="00E10F59">
        <w:rPr>
          <w:rFonts w:ascii="Georgia" w:hAnsi="Georgia"/>
          <w:b/>
          <w:szCs w:val="22"/>
        </w:rPr>
        <w:t>Tiling</w:t>
      </w:r>
      <w:proofErr w:type="spellEnd"/>
      <w:r w:rsidR="00E10F59" w:rsidRPr="00E10F59">
        <w:rPr>
          <w:rFonts w:ascii="Georgia" w:hAnsi="Georgia"/>
          <w:b/>
          <w:szCs w:val="22"/>
        </w:rPr>
        <w:t xml:space="preserve"> (Układanie płytek i podłóg) realizowanej podczas wydarzenia EuroSkills 2023 Gdańsk</w:t>
      </w:r>
      <w:r w:rsidR="007D650D">
        <w:rPr>
          <w:rFonts w:ascii="Georgia" w:hAnsi="Georgia"/>
          <w:b/>
          <w:szCs w:val="22"/>
        </w:rPr>
        <w:t>,</w:t>
      </w:r>
      <w:r w:rsidR="00271235">
        <w:rPr>
          <w:rFonts w:ascii="Georgia" w:hAnsi="Georgia"/>
          <w:b/>
          <w:szCs w:val="22"/>
        </w:rPr>
        <w:t xml:space="preserve"> </w:t>
      </w:r>
      <w:r w:rsidR="006375D7" w:rsidRPr="00E54121">
        <w:rPr>
          <w:rFonts w:ascii="Georgia" w:hAnsi="Georgia"/>
          <w:szCs w:val="22"/>
        </w:rPr>
        <w:t>zgod</w:t>
      </w:r>
      <w:r w:rsidR="001C5480">
        <w:rPr>
          <w:rFonts w:ascii="Georgia" w:hAnsi="Georgia"/>
          <w:szCs w:val="22"/>
        </w:rPr>
        <w:t>nie</w:t>
      </w:r>
      <w:r w:rsidR="006375D7" w:rsidRPr="00E54121">
        <w:rPr>
          <w:rFonts w:ascii="Georgia" w:hAnsi="Georgia"/>
          <w:szCs w:val="22"/>
        </w:rPr>
        <w:t xml:space="preserve"> z</w:t>
      </w:r>
      <w:r w:rsidRPr="00E54121">
        <w:rPr>
          <w:rFonts w:ascii="Georgia" w:hAnsi="Georgia"/>
          <w:szCs w:val="22"/>
        </w:rPr>
        <w:t xml:space="preserve"> </w:t>
      </w:r>
      <w:r w:rsidR="00347B5E" w:rsidRPr="00E54121">
        <w:rPr>
          <w:rFonts w:ascii="Georgia" w:hAnsi="Georgia"/>
          <w:b/>
          <w:szCs w:val="22"/>
        </w:rPr>
        <w:t>Opisem Przedmiotu Zamówienia</w:t>
      </w:r>
      <w:r w:rsidR="001649E7">
        <w:rPr>
          <w:rFonts w:ascii="Georgia" w:hAnsi="Georgia"/>
          <w:b/>
          <w:szCs w:val="22"/>
        </w:rPr>
        <w:t xml:space="preserve"> („OPZ”)</w:t>
      </w:r>
      <w:r w:rsidR="00347B5E" w:rsidRPr="00E54121">
        <w:rPr>
          <w:rFonts w:ascii="Georgia" w:hAnsi="Georgia"/>
          <w:b/>
          <w:szCs w:val="22"/>
        </w:rPr>
        <w:t xml:space="preserve"> </w:t>
      </w:r>
      <w:r w:rsidR="00E10DE7" w:rsidRPr="00E54121">
        <w:rPr>
          <w:rFonts w:ascii="Georgia" w:hAnsi="Georgia"/>
          <w:szCs w:val="22"/>
        </w:rPr>
        <w:t xml:space="preserve">stanowiącym </w:t>
      </w:r>
      <w:r w:rsidR="006375D7" w:rsidRPr="00E54121">
        <w:rPr>
          <w:rFonts w:ascii="Georgia" w:hAnsi="Georgia"/>
          <w:b/>
          <w:szCs w:val="22"/>
        </w:rPr>
        <w:t>załącznik nr 1</w:t>
      </w:r>
      <w:r w:rsidR="006375D7" w:rsidRPr="00E54121">
        <w:rPr>
          <w:rFonts w:ascii="Georgia" w:hAnsi="Georgia"/>
          <w:szCs w:val="22"/>
        </w:rPr>
        <w:t xml:space="preserve"> do niniejszej </w:t>
      </w:r>
      <w:r w:rsidR="00800043" w:rsidRPr="00E54121">
        <w:rPr>
          <w:rFonts w:ascii="Georgia" w:hAnsi="Georgia"/>
          <w:szCs w:val="22"/>
        </w:rPr>
        <w:t>U</w:t>
      </w:r>
      <w:r w:rsidR="006375D7" w:rsidRPr="00E54121">
        <w:rPr>
          <w:rFonts w:ascii="Georgia" w:hAnsi="Georgia"/>
          <w:szCs w:val="22"/>
        </w:rPr>
        <w:t xml:space="preserve">mowy </w:t>
      </w:r>
      <w:r w:rsidR="00906E1B" w:rsidRPr="00E54121">
        <w:rPr>
          <w:rFonts w:ascii="Georgia" w:hAnsi="Georgia"/>
          <w:szCs w:val="22"/>
        </w:rPr>
        <w:t xml:space="preserve">oraz zgodnie z </w:t>
      </w:r>
      <w:r w:rsidR="00347B5E" w:rsidRPr="00E54121">
        <w:rPr>
          <w:rFonts w:ascii="Georgia" w:hAnsi="Georgia"/>
          <w:b/>
          <w:szCs w:val="22"/>
        </w:rPr>
        <w:t>Formularzem Ofert</w:t>
      </w:r>
      <w:r w:rsidR="00632940" w:rsidRPr="00E54121">
        <w:rPr>
          <w:rFonts w:ascii="Georgia" w:hAnsi="Georgia"/>
          <w:b/>
          <w:szCs w:val="22"/>
        </w:rPr>
        <w:t>y</w:t>
      </w:r>
      <w:r w:rsidR="00347B5E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Wykonawcy z dnia .................</w:t>
      </w:r>
      <w:r w:rsidR="00906E1B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 xml:space="preserve"> stanowiącym </w:t>
      </w:r>
      <w:r w:rsidRPr="00E54121">
        <w:rPr>
          <w:rFonts w:ascii="Georgia" w:hAnsi="Georgia"/>
          <w:b/>
          <w:szCs w:val="22"/>
        </w:rPr>
        <w:t xml:space="preserve">załącznik nr </w:t>
      </w:r>
      <w:r w:rsidR="00906E1B" w:rsidRPr="00E54121">
        <w:rPr>
          <w:rFonts w:ascii="Georgia" w:hAnsi="Georgia"/>
          <w:b/>
          <w:szCs w:val="22"/>
        </w:rPr>
        <w:t>2</w:t>
      </w:r>
      <w:r w:rsidRPr="00E54121">
        <w:rPr>
          <w:rFonts w:ascii="Georgia" w:hAnsi="Georgia"/>
          <w:szCs w:val="22"/>
        </w:rPr>
        <w:t xml:space="preserve"> do </w:t>
      </w:r>
      <w:r w:rsidR="002917CA" w:rsidRPr="00E54121">
        <w:rPr>
          <w:rFonts w:ascii="Georgia" w:hAnsi="Georgia"/>
          <w:szCs w:val="22"/>
        </w:rPr>
        <w:t xml:space="preserve">niniejszej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mowy. </w:t>
      </w:r>
      <w:r w:rsidR="00906E1B" w:rsidRPr="00E54121">
        <w:rPr>
          <w:rFonts w:ascii="Georgia" w:hAnsi="Georgia"/>
          <w:szCs w:val="22"/>
        </w:rPr>
        <w:t xml:space="preserve"> </w:t>
      </w:r>
    </w:p>
    <w:p w14:paraId="31269C95" w14:textId="50D19050" w:rsidR="00FA35C5" w:rsidRDefault="00FA35C5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Wykonawca zobowiązany jest dostarczyć przedmiot Umowy </w:t>
      </w:r>
      <w:r w:rsidR="00AD169B">
        <w:rPr>
          <w:rFonts w:ascii="Georgia" w:hAnsi="Georgia"/>
          <w:szCs w:val="22"/>
        </w:rPr>
        <w:t xml:space="preserve">w </w:t>
      </w:r>
      <w:r w:rsidR="007D650D">
        <w:rPr>
          <w:rFonts w:ascii="Georgia" w:hAnsi="Georgia"/>
          <w:szCs w:val="22"/>
        </w:rPr>
        <w:t>dniu…………………… zgodnie z Formularzem Oferty.</w:t>
      </w:r>
      <w:r w:rsidR="000F59A5">
        <w:rPr>
          <w:rFonts w:ascii="Georgia" w:hAnsi="Georgia"/>
          <w:szCs w:val="22"/>
        </w:rPr>
        <w:t xml:space="preserve"> </w:t>
      </w:r>
    </w:p>
    <w:p w14:paraId="37E0589D" w14:textId="2EB43ED0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Zamawiający zastrzega sobie prawo zwiększenia</w:t>
      </w:r>
      <w:r w:rsidR="004C48EA" w:rsidRPr="00E54121">
        <w:rPr>
          <w:rFonts w:ascii="Georgia" w:hAnsi="Georgia"/>
          <w:szCs w:val="22"/>
        </w:rPr>
        <w:t>/zm</w:t>
      </w:r>
      <w:r w:rsidR="006655DA">
        <w:rPr>
          <w:rFonts w:ascii="Georgia" w:hAnsi="Georgia"/>
          <w:szCs w:val="22"/>
        </w:rPr>
        <w:t>n</w:t>
      </w:r>
      <w:r w:rsidR="004C48EA" w:rsidRPr="00E54121">
        <w:rPr>
          <w:rFonts w:ascii="Georgia" w:hAnsi="Georgia"/>
          <w:szCs w:val="22"/>
        </w:rPr>
        <w:t>iejszenia</w:t>
      </w:r>
      <w:r w:rsidRPr="00E54121">
        <w:rPr>
          <w:rFonts w:ascii="Georgia" w:hAnsi="Georgia"/>
          <w:szCs w:val="22"/>
        </w:rPr>
        <w:t xml:space="preserve"> zamówienia względem szacowanych </w:t>
      </w:r>
      <w:r w:rsidR="00FA35C5">
        <w:rPr>
          <w:rFonts w:ascii="Georgia" w:hAnsi="Georgia"/>
          <w:szCs w:val="22"/>
        </w:rPr>
        <w:t>ilości</w:t>
      </w:r>
      <w:r w:rsidR="008E2662">
        <w:rPr>
          <w:rFonts w:ascii="Georgia" w:hAnsi="Georgia"/>
          <w:szCs w:val="22"/>
        </w:rPr>
        <w:t xml:space="preserve"> o +/- 20%</w:t>
      </w:r>
      <w:r w:rsidRPr="00E54121">
        <w:rPr>
          <w:rFonts w:ascii="Georgia" w:hAnsi="Georgia"/>
          <w:szCs w:val="22"/>
        </w:rPr>
        <w:t xml:space="preserve">. Wykonawca oświadcza, że nie będzie wnosił roszczeń z tytułu niewykorzystania przez Zamawiającego zamówienia w zakresie ilościowym lub wartościowym. Jednocześnie 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2DB34101" w14:textId="77777777" w:rsidR="00E10F59" w:rsidRPr="00E54121" w:rsidRDefault="00E10F59" w:rsidP="007E66F9">
      <w:pPr>
        <w:pStyle w:val="Tekstpodstawowy"/>
        <w:spacing w:after="120" w:line="276" w:lineRule="auto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2456C35B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>Formularz</w:t>
      </w:r>
      <w:r w:rsidR="00271235">
        <w:rPr>
          <w:rFonts w:ascii="Georgia" w:hAnsi="Georgia"/>
          <w:b/>
          <w:bCs/>
          <w:sz w:val="22"/>
          <w:szCs w:val="22"/>
        </w:rPr>
        <w:t xml:space="preserve">u Oferty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0F80C819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lastRenderedPageBreak/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 xml:space="preserve">podatek VAT naliczony zgodnie z przepisami obowiązującymi w dniu </w:t>
      </w:r>
      <w:r w:rsidR="001649E7">
        <w:rPr>
          <w:rFonts w:ascii="Georgia" w:hAnsi="Georgia"/>
          <w:sz w:val="22"/>
          <w:szCs w:val="22"/>
        </w:rPr>
        <w:t>wystawienia faktury</w:t>
      </w:r>
      <w:r w:rsidR="001649E7" w:rsidRPr="00E54121">
        <w:rPr>
          <w:rFonts w:ascii="Georgia" w:hAnsi="Georgia"/>
          <w:sz w:val="22"/>
          <w:szCs w:val="22"/>
        </w:rPr>
        <w:t xml:space="preserve"> </w:t>
      </w:r>
      <w:r w:rsidR="00494180" w:rsidRPr="00E54121">
        <w:rPr>
          <w:rFonts w:ascii="Georgia" w:hAnsi="Georgia"/>
          <w:sz w:val="22"/>
          <w:szCs w:val="22"/>
        </w:rPr>
        <w:t xml:space="preserve">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663942A3" w14:textId="77777777" w:rsidR="00CB086C" w:rsidRPr="006507C7" w:rsidRDefault="00CB086C" w:rsidP="00CB086C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6507C7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6507C7">
        <w:rPr>
          <w:rFonts w:ascii="Georgia" w:hAnsi="Georgia"/>
          <w:b/>
          <w:bCs/>
          <w:sz w:val="22"/>
          <w:szCs w:val="22"/>
        </w:rPr>
        <w:t>wad ilościowych</w:t>
      </w:r>
      <w:r w:rsidRPr="006507C7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 Zamawiający w terminie </w:t>
      </w:r>
      <w:r>
        <w:rPr>
          <w:rFonts w:ascii="Georgia" w:hAnsi="Georgia"/>
          <w:bCs/>
          <w:sz w:val="22"/>
          <w:szCs w:val="22"/>
        </w:rPr>
        <w:t xml:space="preserve">1 dnia roboczego </w:t>
      </w:r>
      <w:r w:rsidRPr="006507C7">
        <w:rPr>
          <w:rFonts w:ascii="Georgia" w:hAnsi="Georgia"/>
          <w:bCs/>
          <w:sz w:val="22"/>
          <w:szCs w:val="22"/>
        </w:rPr>
        <w:t xml:space="preserve">potwierdzi, że materiały i sprzęt są zgodnie z OPZ poprzez podpisanie protokołu odbioru. W przypadku, gdy materiały i sprzęt nie odpowiadają wymogom Opisu Przedmiotu Zamówienia, Zamawiający wskaże materiały i sprzęt, które zostały uznane za niezgodne i wyznaczy Wykonawcy dodatkowy termin na usunięcie wad jakościowych, jednak nie dłuższy niż </w:t>
      </w:r>
      <w:r>
        <w:rPr>
          <w:rFonts w:ascii="Georgia" w:hAnsi="Georgia"/>
          <w:bCs/>
          <w:sz w:val="22"/>
          <w:szCs w:val="22"/>
        </w:rPr>
        <w:t>1 dzień</w:t>
      </w:r>
      <w:r w:rsidRPr="006507C7">
        <w:rPr>
          <w:rFonts w:ascii="Georgia" w:hAnsi="Georgia"/>
          <w:bCs/>
          <w:sz w:val="22"/>
          <w:szCs w:val="22"/>
        </w:rPr>
        <w:t>.</w:t>
      </w:r>
    </w:p>
    <w:p w14:paraId="487A4154" w14:textId="30B2DEF6" w:rsidR="0018665F" w:rsidRPr="00E54121" w:rsidRDefault="0011323B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Przedmiot Umowy musi zostać</w:t>
      </w:r>
      <w:r w:rsidR="0018665F" w:rsidRPr="00E54121">
        <w:rPr>
          <w:rFonts w:ascii="Georgia" w:hAnsi="Georgia"/>
          <w:sz w:val="22"/>
          <w:szCs w:val="22"/>
        </w:rPr>
        <w:t xml:space="preserve"> dostarczon</w:t>
      </w:r>
      <w:r>
        <w:rPr>
          <w:rFonts w:ascii="Georgia" w:hAnsi="Georgia"/>
          <w:sz w:val="22"/>
          <w:szCs w:val="22"/>
        </w:rPr>
        <w:t>y</w:t>
      </w:r>
      <w:r w:rsidR="0018665F" w:rsidRPr="00E54121">
        <w:rPr>
          <w:rFonts w:ascii="Georgia" w:hAnsi="Georgia"/>
          <w:sz w:val="22"/>
          <w:szCs w:val="22"/>
        </w:rPr>
        <w:t xml:space="preserve"> w terminie </w:t>
      </w:r>
      <w:r w:rsidR="00FA35C5">
        <w:rPr>
          <w:rFonts w:ascii="Georgia" w:hAnsi="Georgia"/>
          <w:sz w:val="22"/>
          <w:szCs w:val="22"/>
        </w:rPr>
        <w:t>wskazanym w § 1 ust. 2 Umowy</w:t>
      </w:r>
      <w:r w:rsidR="00271235">
        <w:rPr>
          <w:rFonts w:ascii="Georgia" w:hAnsi="Georgia"/>
          <w:sz w:val="22"/>
          <w:szCs w:val="22"/>
        </w:rPr>
        <w:t xml:space="preserve"> we wskazane przez Zamawiającego miejsce</w:t>
      </w:r>
      <w:r w:rsidR="00CB086C">
        <w:rPr>
          <w:rFonts w:ascii="Georgia" w:hAnsi="Georgia"/>
          <w:sz w:val="22"/>
          <w:szCs w:val="22"/>
        </w:rPr>
        <w:t>, które zostanie ustalone w trybie roboczym</w:t>
      </w:r>
      <w:r w:rsidR="00271235">
        <w:rPr>
          <w:rFonts w:ascii="Georgia" w:hAnsi="Georgia"/>
          <w:sz w:val="22"/>
          <w:szCs w:val="22"/>
        </w:rPr>
        <w:t>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44FBA199" w:rsidR="0018665F" w:rsidRPr="00E54121" w:rsidRDefault="001649E7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Wynagrodzenie Wykonawcy</w:t>
      </w:r>
      <w:r w:rsidR="00751817" w:rsidRPr="00E54121">
        <w:rPr>
          <w:rFonts w:ascii="Georgia" w:hAnsi="Georgia"/>
          <w:sz w:val="22"/>
          <w:szCs w:val="22"/>
        </w:rPr>
        <w:t xml:space="preserve"> nie może przekroczyć kwoty </w:t>
      </w:r>
      <w:r w:rsidR="00751817"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="00751817" w:rsidRPr="00E54121">
        <w:rPr>
          <w:rFonts w:ascii="Georgia" w:hAnsi="Georgia"/>
          <w:sz w:val="22"/>
          <w:szCs w:val="22"/>
        </w:rPr>
        <w:t>(słownie; …….. 00/100).</w:t>
      </w:r>
      <w:r w:rsidR="0011323B">
        <w:rPr>
          <w:rFonts w:ascii="Georgia" w:hAnsi="Georgia"/>
          <w:sz w:val="22"/>
          <w:szCs w:val="22"/>
        </w:rPr>
        <w:t xml:space="preserve"> Wynagrodzenie Wykonawcy zostanie obliczone, </w:t>
      </w:r>
      <w:r w:rsidR="000F59A5">
        <w:rPr>
          <w:rFonts w:ascii="Georgia" w:hAnsi="Georgia"/>
          <w:sz w:val="22"/>
          <w:szCs w:val="22"/>
        </w:rPr>
        <w:t xml:space="preserve">jako iloczyn dostarczonych i </w:t>
      </w:r>
      <w:r w:rsidR="00CB086C">
        <w:rPr>
          <w:rFonts w:ascii="Georgia" w:hAnsi="Georgia"/>
          <w:sz w:val="22"/>
          <w:szCs w:val="22"/>
        </w:rPr>
        <w:t xml:space="preserve">odebranego </w:t>
      </w:r>
      <w:r w:rsidR="000F59A5">
        <w:rPr>
          <w:rFonts w:ascii="Georgia" w:hAnsi="Georgia"/>
          <w:sz w:val="22"/>
          <w:szCs w:val="22"/>
        </w:rPr>
        <w:t xml:space="preserve">przez Zamawiającego </w:t>
      </w:r>
      <w:r w:rsidR="00CB086C">
        <w:rPr>
          <w:rFonts w:ascii="Georgia" w:hAnsi="Georgia"/>
          <w:sz w:val="22"/>
          <w:szCs w:val="22"/>
        </w:rPr>
        <w:t>sprzętu i materiałów</w:t>
      </w:r>
      <w:r w:rsidR="000F59A5">
        <w:rPr>
          <w:rFonts w:ascii="Georgia" w:hAnsi="Georgia"/>
          <w:sz w:val="22"/>
          <w:szCs w:val="22"/>
        </w:rPr>
        <w:t xml:space="preserve">. </w:t>
      </w:r>
    </w:p>
    <w:p w14:paraId="3D237296" w14:textId="404948B7" w:rsidR="0018665F" w:rsidRPr="002D24AD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2D24AD">
        <w:rPr>
          <w:rFonts w:ascii="Georgia" w:hAnsi="Georgia"/>
          <w:sz w:val="22"/>
          <w:szCs w:val="22"/>
        </w:rPr>
        <w:t>Wynagrodzenie Wykonawcy zostanie wypłacone po należytym wykonaniu przedmiotu Umowy</w:t>
      </w:r>
      <w:r w:rsidR="002D24AD">
        <w:rPr>
          <w:rFonts w:ascii="Georgia" w:hAnsi="Georgia"/>
          <w:sz w:val="22"/>
          <w:szCs w:val="22"/>
        </w:rPr>
        <w:t xml:space="preserve"> (z zastrzeżeniem ust. 10)</w:t>
      </w:r>
      <w:r w:rsidRPr="002D24AD">
        <w:rPr>
          <w:rFonts w:ascii="Georgia" w:hAnsi="Georgia"/>
          <w:sz w:val="22"/>
          <w:szCs w:val="22"/>
        </w:rPr>
        <w:t xml:space="preserve">, co zostanie potwierdzone protokołem odbioru podpisanym przez Zamawiającego. Wynagrodzenie Wykonawcy zostanie obliczone w oparciu o Formularz Ofertowy, jako iloczyn liczby poszczególnych </w:t>
      </w:r>
      <w:r w:rsidR="002D24AD" w:rsidRPr="002D24AD">
        <w:rPr>
          <w:rFonts w:ascii="Georgia" w:hAnsi="Georgia"/>
          <w:sz w:val="22"/>
          <w:szCs w:val="22"/>
        </w:rPr>
        <w:t>elementów</w:t>
      </w:r>
      <w:r w:rsidRPr="002D24AD">
        <w:rPr>
          <w:rFonts w:ascii="Georgia" w:hAnsi="Georgia"/>
          <w:sz w:val="22"/>
          <w:szCs w:val="22"/>
        </w:rPr>
        <w:t xml:space="preserve"> i stawek określonych w Formularzu ofertowym. </w:t>
      </w:r>
    </w:p>
    <w:p w14:paraId="65F3B894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0E4F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0E4F89">
      <w:pPr>
        <w:pStyle w:val="Akapitzlist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E54121" w:rsidRDefault="0018665F" w:rsidP="000E4F89">
      <w:pPr>
        <w:pStyle w:val="Akapitzlist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 xml:space="preserve">Jeżeli Zamawiający stwierdzi, że rachunek wskazany przez Wykonawcę na fakturze nie znajduje się na tzw. „białej liście podatników VAT”, wówczas Zamawiający wstrzyma się z dokonaniem zapłaty </w:t>
      </w:r>
      <w:r w:rsidRPr="00E54121">
        <w:rPr>
          <w:rFonts w:ascii="Georgia" w:hAnsi="Georgia" w:cs="Arial"/>
          <w:sz w:val="22"/>
          <w:szCs w:val="22"/>
        </w:rPr>
        <w:lastRenderedPageBreak/>
        <w:t>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56E71F6C" w:rsidR="0018665F" w:rsidRPr="00E54121" w:rsidRDefault="0018665F" w:rsidP="000E4F89">
      <w:pPr>
        <w:pStyle w:val="Akapitzlist"/>
        <w:numPr>
          <w:ilvl w:val="0"/>
          <w:numId w:val="33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2D24AD" w:rsidRPr="001C5480">
        <w:rPr>
          <w:rFonts w:ascii="Georgia" w:hAnsi="Georgia"/>
          <w:b/>
          <w:bCs/>
          <w:sz w:val="22"/>
          <w:szCs w:val="22"/>
        </w:rPr>
        <w:t>90</w:t>
      </w:r>
      <w:r w:rsidRPr="001C5480">
        <w:rPr>
          <w:rFonts w:ascii="Georgia" w:hAnsi="Georgia"/>
          <w:b/>
          <w:bCs/>
          <w:sz w:val="22"/>
          <w:szCs w:val="22"/>
        </w:rPr>
        <w:t>%</w:t>
      </w:r>
      <w:r w:rsidRPr="00E54121">
        <w:rPr>
          <w:rFonts w:ascii="Georgia" w:hAnsi="Georgia"/>
          <w:sz w:val="22"/>
          <w:szCs w:val="22"/>
        </w:rPr>
        <w:t xml:space="preserve">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7B0EF118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Wykonawca zobowiązany jest do zapłaty kary umownej z tytułu opóźnienia w wykonaniu Umowy, względem terminów określonych w OPZ, w wysokości </w:t>
      </w:r>
      <w:r w:rsidR="00153CE5">
        <w:rPr>
          <w:rFonts w:ascii="Georgia" w:hAnsi="Georgia"/>
          <w:sz w:val="22"/>
          <w:szCs w:val="22"/>
        </w:rPr>
        <w:t>5</w:t>
      </w:r>
      <w:r w:rsidRPr="00413B17">
        <w:rPr>
          <w:rFonts w:ascii="Georgia" w:hAnsi="Georgia"/>
          <w:sz w:val="22"/>
          <w:szCs w:val="22"/>
        </w:rPr>
        <w:t xml:space="preserve">% wartości Umowy brutto, określonej w § 3 ust. 1 Umowy za </w:t>
      </w:r>
      <w:r w:rsidR="00153CE5">
        <w:rPr>
          <w:rFonts w:ascii="Georgia" w:hAnsi="Georgia"/>
          <w:sz w:val="22"/>
          <w:szCs w:val="22"/>
        </w:rPr>
        <w:t>każdy dzień</w:t>
      </w:r>
      <w:r w:rsidRPr="00413B17">
        <w:rPr>
          <w:rFonts w:ascii="Georgia" w:hAnsi="Georgia"/>
          <w:sz w:val="22"/>
          <w:szCs w:val="22"/>
        </w:rPr>
        <w:t xml:space="preserve"> opóźnienia w</w:t>
      </w:r>
      <w:r w:rsidR="00CE45F8">
        <w:rPr>
          <w:rFonts w:ascii="Georgia" w:hAnsi="Georgia"/>
          <w:sz w:val="22"/>
          <w:szCs w:val="22"/>
        </w:rPr>
        <w:t xml:space="preserve"> dostarczeniu przedmiotu Umowy względem</w:t>
      </w:r>
      <w:r w:rsidR="007D650D">
        <w:rPr>
          <w:rFonts w:ascii="Georgia" w:hAnsi="Georgia"/>
          <w:sz w:val="22"/>
          <w:szCs w:val="22"/>
        </w:rPr>
        <w:t xml:space="preserve"> zadeklarowanego </w:t>
      </w:r>
      <w:r w:rsidR="00CE45F8">
        <w:rPr>
          <w:rFonts w:ascii="Georgia" w:hAnsi="Georgia"/>
          <w:sz w:val="22"/>
          <w:szCs w:val="22"/>
        </w:rPr>
        <w:t xml:space="preserve"> termin</w:t>
      </w:r>
      <w:r w:rsidR="007D650D">
        <w:rPr>
          <w:rFonts w:ascii="Georgia" w:hAnsi="Georgia"/>
          <w:sz w:val="22"/>
          <w:szCs w:val="22"/>
        </w:rPr>
        <w:t>u.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30D0FC05" w14:textId="506F7144" w:rsidR="00CB086C" w:rsidRDefault="00CB086C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dostarczeniu materiałów i sprzętu nieodpowiadającego wymogom</w:t>
      </w:r>
      <w:r>
        <w:rPr>
          <w:rFonts w:ascii="Georgia" w:hAnsi="Georgia" w:cstheme="minorHAnsi"/>
          <w:color w:val="000000" w:themeColor="text1"/>
          <w:sz w:val="22"/>
          <w:szCs w:val="22"/>
        </w:rPr>
        <w:t xml:space="preserve"> OPZ,</w:t>
      </w:r>
    </w:p>
    <w:p w14:paraId="45F4ECC9" w14:textId="4D2C1FE9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nieusunięcia wad </w:t>
      </w:r>
      <w:r w:rsidR="000F59A5">
        <w:rPr>
          <w:rFonts w:ascii="Georgia" w:hAnsi="Georgia" w:cstheme="minorHAnsi"/>
          <w:color w:val="000000" w:themeColor="text1"/>
          <w:sz w:val="22"/>
          <w:szCs w:val="22"/>
        </w:rPr>
        <w:t xml:space="preserve">stwierdzonych przez </w:t>
      </w:r>
      <w:r w:rsidR="00E10F59">
        <w:rPr>
          <w:rFonts w:ascii="Georgia" w:hAnsi="Georgia" w:cstheme="minorHAnsi"/>
          <w:color w:val="000000" w:themeColor="text1"/>
          <w:sz w:val="22"/>
          <w:szCs w:val="22"/>
        </w:rPr>
        <w:t>Zamawiającego</w:t>
      </w:r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lastRenderedPageBreak/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>
        <w:rPr>
          <w:rFonts w:ascii="Georgia" w:eastAsia="Calibri" w:hAnsi="Georgia"/>
          <w:sz w:val="22"/>
          <w:szCs w:val="22"/>
          <w:lang w:eastAsia="en-US"/>
        </w:rPr>
        <w:t>elementów składających się na przedmiot Umowy,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>
        <w:rPr>
          <w:rFonts w:ascii="Georgia" w:eastAsia="Calibri" w:hAnsi="Georgia"/>
          <w:sz w:val="22"/>
          <w:szCs w:val="22"/>
          <w:lang w:eastAsia="en-US"/>
        </w:rPr>
        <w:t>przedmiotu Umowy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lastRenderedPageBreak/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0E4F89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0E4F89">
      <w:pPr>
        <w:pStyle w:val="Akapitzlist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65F84DF" w:rsidR="00F63BDA" w:rsidRPr="00E54121" w:rsidRDefault="00654AE1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0E4F89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8"/>
      <w:footerReference w:type="even" r:id="rId9"/>
      <w:footerReference w:type="default" r:id="rId10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D008" w14:textId="77777777" w:rsidR="007C791D" w:rsidRDefault="007C791D">
      <w:r>
        <w:separator/>
      </w:r>
    </w:p>
  </w:endnote>
  <w:endnote w:type="continuationSeparator" w:id="0">
    <w:p w14:paraId="4F86AE21" w14:textId="77777777" w:rsidR="007C791D" w:rsidRDefault="007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7E2D" w14:textId="77777777" w:rsidR="007C791D" w:rsidRDefault="007C791D">
      <w:r>
        <w:separator/>
      </w:r>
    </w:p>
  </w:footnote>
  <w:footnote w:type="continuationSeparator" w:id="0">
    <w:p w14:paraId="61295387" w14:textId="77777777" w:rsidR="007C791D" w:rsidRDefault="007C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4F89"/>
    <w:rsid w:val="000E6B2B"/>
    <w:rsid w:val="000F59A5"/>
    <w:rsid w:val="0011067A"/>
    <w:rsid w:val="00111C4C"/>
    <w:rsid w:val="0011323B"/>
    <w:rsid w:val="00114BC3"/>
    <w:rsid w:val="00116331"/>
    <w:rsid w:val="001249BF"/>
    <w:rsid w:val="0013557C"/>
    <w:rsid w:val="001409C0"/>
    <w:rsid w:val="00153CE5"/>
    <w:rsid w:val="001552DA"/>
    <w:rsid w:val="00163181"/>
    <w:rsid w:val="001649E7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5480"/>
    <w:rsid w:val="001C776F"/>
    <w:rsid w:val="001E1E47"/>
    <w:rsid w:val="001E3FF4"/>
    <w:rsid w:val="002155D6"/>
    <w:rsid w:val="00224716"/>
    <w:rsid w:val="00226A7B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71235"/>
    <w:rsid w:val="0028376A"/>
    <w:rsid w:val="0028467F"/>
    <w:rsid w:val="0028634E"/>
    <w:rsid w:val="002917CA"/>
    <w:rsid w:val="00293451"/>
    <w:rsid w:val="002A0338"/>
    <w:rsid w:val="002D028C"/>
    <w:rsid w:val="002D24AD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87658"/>
    <w:rsid w:val="00387E57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976FC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27AF4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C791D"/>
    <w:rsid w:val="007D650D"/>
    <w:rsid w:val="007E39BC"/>
    <w:rsid w:val="007E66F9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3AAB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E266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169B"/>
    <w:rsid w:val="00AD3205"/>
    <w:rsid w:val="00AE04B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C018D"/>
    <w:rsid w:val="00BD18E9"/>
    <w:rsid w:val="00BE1AC2"/>
    <w:rsid w:val="00BE1E70"/>
    <w:rsid w:val="00BE3787"/>
    <w:rsid w:val="00BF4809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90E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086C"/>
    <w:rsid w:val="00CB3C2C"/>
    <w:rsid w:val="00CC08C6"/>
    <w:rsid w:val="00CC1129"/>
    <w:rsid w:val="00CC3BEB"/>
    <w:rsid w:val="00CE1806"/>
    <w:rsid w:val="00CE45F8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87DAE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10F59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BD39-B19F-47A5-8401-5A7D12EB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11706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13475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Piotr Sosnowski</cp:lastModifiedBy>
  <cp:revision>3</cp:revision>
  <cp:lastPrinted>2015-07-30T07:56:00Z</cp:lastPrinted>
  <dcterms:created xsi:type="dcterms:W3CDTF">2023-07-25T15:17:00Z</dcterms:created>
  <dcterms:modified xsi:type="dcterms:W3CDTF">2023-07-25T15:44:00Z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