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63EB68B3" w:rsidR="005B62D7" w:rsidRDefault="007820A5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 xml:space="preserve">Załącznik nr </w:t>
      </w:r>
      <w:r w:rsidR="002E23AE">
        <w:rPr>
          <w:rFonts w:cstheme="minorHAnsi"/>
        </w:rPr>
        <w:t>4</w:t>
      </w:r>
      <w:r>
        <w:rPr>
          <w:rFonts w:cstheme="minorHAnsi"/>
        </w:rPr>
        <w:t xml:space="preserve"> do zapytania ofertowego</w:t>
      </w:r>
    </w:p>
    <w:p w14:paraId="0E4E74D7" w14:textId="77777777" w:rsidR="007820A5" w:rsidRDefault="007820A5" w:rsidP="007820A5">
      <w:pPr>
        <w:tabs>
          <w:tab w:val="left" w:pos="1027"/>
        </w:tabs>
        <w:rPr>
          <w:rFonts w:ascii="Times New Roman" w:hAnsi="Times New Roman" w:cs="Times New Roman"/>
        </w:rPr>
      </w:pPr>
    </w:p>
    <w:p w14:paraId="1A9017C3" w14:textId="77777777" w:rsidR="002E23AE" w:rsidRDefault="002E23AE" w:rsidP="002E23AE">
      <w:pPr>
        <w:pStyle w:val="Nagwek1"/>
        <w:jc w:val="center"/>
      </w:pPr>
      <w:r>
        <w:t>Tekst 1</w:t>
      </w:r>
    </w:p>
    <w:p w14:paraId="24EC5388" w14:textId="77777777" w:rsidR="002E23AE" w:rsidRDefault="002E23AE" w:rsidP="002E23AE">
      <w:pPr>
        <w:spacing w:after="120" w:line="360" w:lineRule="auto"/>
        <w:jc w:val="both"/>
      </w:pPr>
    </w:p>
    <w:p w14:paraId="194D4B05" w14:textId="77777777" w:rsidR="002E23AE" w:rsidRPr="00363DDA" w:rsidRDefault="002E23AE" w:rsidP="002E23AE">
      <w:pPr>
        <w:spacing w:after="120" w:line="360" w:lineRule="auto"/>
        <w:jc w:val="both"/>
      </w:pPr>
      <w:r w:rsidRPr="00363DDA">
        <w:t xml:space="preserve">Project, był odpowiedzią na zapotrzebowanie na nowe podejścia w nauczaniu oparte na idei nauczania opartego na grach, więc został zrealizowany z powodzeniem - opracowano </w:t>
      </w:r>
      <w:r>
        <w:t>7</w:t>
      </w:r>
      <w:r w:rsidRPr="00363DDA">
        <w:t xml:space="preserve"> </w:t>
      </w:r>
      <w:proofErr w:type="spellStart"/>
      <w:r w:rsidRPr="00363DDA">
        <w:t>innowatroskich</w:t>
      </w:r>
      <w:proofErr w:type="spellEnd"/>
      <w:r w:rsidRPr="00363DDA">
        <w:t xml:space="preserve"> gier kooperatywnych rozwijających umiejętności lekkie XX </w:t>
      </w:r>
      <w:r>
        <w:t xml:space="preserve">w </w:t>
      </w:r>
      <w:r w:rsidRPr="00363DDA">
        <w:t xml:space="preserve">wieku, które można wykorzystać w szerokim zakresie nauk humanistycznych. Wzbogacą się one o jakość procesu nauczania w </w:t>
      </w:r>
      <w:r>
        <w:t>sześciu</w:t>
      </w:r>
      <w:r w:rsidRPr="00363DDA">
        <w:t xml:space="preserve"> partnerskich uczelniach i poza nami. Wszyscy międzynarodowi członkowie konsorcjum wnieśli ogromy wkład w wyniki projektu, co przełożyło się na interdyscyplinarny charakter gier i ich znaczny potencjał transferu.</w:t>
      </w:r>
    </w:p>
    <w:p w14:paraId="4543C4A6" w14:textId="77777777" w:rsidR="002E23AE" w:rsidRPr="00363DDA" w:rsidRDefault="002E23AE" w:rsidP="002E23AE">
      <w:pPr>
        <w:spacing w:after="120" w:line="360" w:lineRule="auto"/>
        <w:jc w:val="both"/>
      </w:pPr>
      <w:r w:rsidRPr="00363DDA">
        <w:t>Ma i będzie mieć druzgoczący wpływ na poziomie lokalnym, krajowym i europejskim. Nowe narzędzie dydaktyczne będą wykorzystywane prze nauczycieli akademickich konsorcjum, co podniesie jakość ich rozwiązań zawodowych z korzyścią zarówno dla studentów, jak i wykładowców.</w:t>
      </w:r>
    </w:p>
    <w:p w14:paraId="53DBF93B" w14:textId="77777777" w:rsidR="002E23AE" w:rsidRPr="00363DDA" w:rsidRDefault="002E23AE" w:rsidP="002E23AE">
      <w:pPr>
        <w:spacing w:after="120" w:line="360" w:lineRule="auto"/>
        <w:jc w:val="both"/>
      </w:pPr>
      <w:r>
        <w:rPr>
          <w:color w:val="000000"/>
        </w:rPr>
        <w:t>Projektowe d</w:t>
      </w:r>
      <w:r w:rsidRPr="00363DDA">
        <w:rPr>
          <w:color w:val="000000"/>
        </w:rPr>
        <w:t xml:space="preserve">ziałania </w:t>
      </w:r>
      <w:r w:rsidRPr="00363DDA">
        <w:t xml:space="preserve">upowszechniające, promocyjne i PR </w:t>
      </w:r>
      <w:r w:rsidRPr="00363DDA">
        <w:rPr>
          <w:color w:val="000000"/>
        </w:rPr>
        <w:t xml:space="preserve">odbywają się </w:t>
      </w:r>
      <w:r w:rsidRPr="00363DDA">
        <w:t>podczas konferencji, spotkań i warsztatów poprzez partnerów stowarzyszonych, współpracowników,</w:t>
      </w:r>
      <w:r w:rsidRPr="00363DDA">
        <w:rPr>
          <w:color w:val="000000"/>
        </w:rPr>
        <w:t xml:space="preserve"> </w:t>
      </w:r>
      <w:r w:rsidRPr="00363DDA">
        <w:t xml:space="preserve">plakaty itp., </w:t>
      </w:r>
      <w:r w:rsidRPr="00363DDA">
        <w:rPr>
          <w:color w:val="000000"/>
        </w:rPr>
        <w:t>na wszystkich stronach internetowych partnerów projektu.</w:t>
      </w:r>
      <w:r>
        <w:rPr>
          <w:color w:val="000000"/>
        </w:rPr>
        <w:t xml:space="preserve"> </w:t>
      </w:r>
      <w:r w:rsidRPr="00363DDA">
        <w:t xml:space="preserve">Dzięki działaniom upowszechniającymi, beneficjentami produktów projektu będą również </w:t>
      </w:r>
      <w:proofErr w:type="spellStart"/>
      <w:r w:rsidRPr="00363DDA">
        <w:t>szelkiego</w:t>
      </w:r>
      <w:proofErr w:type="spellEnd"/>
      <w:r w:rsidRPr="00363DDA">
        <w:t xml:space="preserve"> rodzaju instytucje i podmioty z </w:t>
      </w:r>
      <w:proofErr w:type="spellStart"/>
      <w:r w:rsidRPr="00363DDA">
        <w:t>obszaruw</w:t>
      </w:r>
      <w:proofErr w:type="spellEnd"/>
      <w:r w:rsidRPr="00363DDA">
        <w:t xml:space="preserve"> w edukacji czy rynku pracy.</w:t>
      </w:r>
    </w:p>
    <w:p w14:paraId="38F53FF9" w14:textId="77777777" w:rsidR="002E23AE" w:rsidRDefault="002E23AE" w:rsidP="002E23AE">
      <w:pPr>
        <w:pStyle w:val="Nagwek1"/>
        <w:jc w:val="center"/>
      </w:pPr>
      <w:r>
        <w:t>Tekst 2</w:t>
      </w:r>
    </w:p>
    <w:p w14:paraId="33A410BE" w14:textId="77777777" w:rsidR="002E23AE" w:rsidRDefault="002E23AE" w:rsidP="002E23AE">
      <w:pPr>
        <w:spacing w:after="120" w:line="360" w:lineRule="auto"/>
        <w:jc w:val="both"/>
      </w:pPr>
    </w:p>
    <w:p w14:paraId="38232855" w14:textId="77777777" w:rsidR="002E23AE" w:rsidRPr="00A75A99" w:rsidRDefault="002E23AE" w:rsidP="002E23AE">
      <w:pPr>
        <w:spacing w:after="120" w:line="360" w:lineRule="auto"/>
        <w:jc w:val="both"/>
      </w:pPr>
      <w:r>
        <w:t>Bryk</w:t>
      </w:r>
      <w:r w:rsidRPr="00A75A99">
        <w:t xml:space="preserve"> przestawia pięć wskaźników w </w:t>
      </w:r>
      <w:proofErr w:type="spellStart"/>
      <w:r w:rsidRPr="00A75A99">
        <w:t>szejściu</w:t>
      </w:r>
      <w:proofErr w:type="spellEnd"/>
      <w:r w:rsidRPr="00A75A99">
        <w:t xml:space="preserve"> następujących obszarach zawodowych</w:t>
      </w:r>
      <w:r>
        <w:t>. Są to</w:t>
      </w:r>
      <w:r w:rsidRPr="00A75A99">
        <w:t>:</w:t>
      </w:r>
    </w:p>
    <w:p w14:paraId="37CF2084" w14:textId="77777777" w:rsidR="002E23AE" w:rsidRPr="00A75A99" w:rsidRDefault="002E23AE" w:rsidP="002E23AE">
      <w:pPr>
        <w:numPr>
          <w:ilvl w:val="0"/>
          <w:numId w:val="8"/>
        </w:numPr>
        <w:spacing w:after="120" w:line="240" w:lineRule="auto"/>
        <w:ind w:left="714" w:hanging="357"/>
      </w:pPr>
      <w:r>
        <w:t>w</w:t>
      </w:r>
      <w:r w:rsidRPr="00A75A99">
        <w:t>stęp do informacji i poradnictwo,</w:t>
      </w:r>
    </w:p>
    <w:p w14:paraId="201F476A" w14:textId="77777777" w:rsidR="002E23AE" w:rsidRPr="00A75A99" w:rsidRDefault="002E23AE" w:rsidP="002E23AE">
      <w:pPr>
        <w:numPr>
          <w:ilvl w:val="0"/>
          <w:numId w:val="8"/>
        </w:numPr>
        <w:spacing w:after="120" w:line="240" w:lineRule="auto"/>
        <w:ind w:left="714" w:hanging="357"/>
      </w:pPr>
      <w:r w:rsidRPr="00A75A99">
        <w:t xml:space="preserve">przygotowanie </w:t>
      </w:r>
      <w:proofErr w:type="spellStart"/>
      <w:r w:rsidRPr="00A75A99">
        <w:t>j</w:t>
      </w:r>
      <w:r>
        <w:t>eż</w:t>
      </w:r>
      <w:r w:rsidRPr="00A75A99">
        <w:t>ykowe</w:t>
      </w:r>
      <w:proofErr w:type="spellEnd"/>
      <w:r w:rsidRPr="00A75A99">
        <w:t>,</w:t>
      </w:r>
    </w:p>
    <w:p w14:paraId="6B0370B7" w14:textId="77777777" w:rsidR="002E23AE" w:rsidRPr="00A75A99" w:rsidRDefault="002E23AE" w:rsidP="002E23AE">
      <w:pPr>
        <w:numPr>
          <w:ilvl w:val="0"/>
          <w:numId w:val="8"/>
        </w:numPr>
        <w:spacing w:after="120" w:line="240" w:lineRule="auto"/>
        <w:ind w:left="714" w:hanging="357"/>
      </w:pPr>
      <w:r w:rsidRPr="00A75A99">
        <w:t xml:space="preserve">kontynuacja </w:t>
      </w:r>
      <w:r>
        <w:t>przemocy</w:t>
      </w:r>
      <w:r w:rsidRPr="00A75A99">
        <w:t xml:space="preserve"> </w:t>
      </w:r>
      <w:r>
        <w:t>nie</w:t>
      </w:r>
      <w:r w:rsidRPr="00A75A99">
        <w:t>materialnej i kredytów studenckich podczas studiów za</w:t>
      </w:r>
      <w:r>
        <w:t xml:space="preserve"> </w:t>
      </w:r>
      <w:r w:rsidRPr="00A75A99">
        <w:t>granicznych,</w:t>
      </w:r>
    </w:p>
    <w:p w14:paraId="7E081A0F" w14:textId="77777777" w:rsidR="002E23AE" w:rsidRPr="00A75A99" w:rsidRDefault="002E23AE" w:rsidP="002E23AE">
      <w:pPr>
        <w:numPr>
          <w:ilvl w:val="0"/>
          <w:numId w:val="8"/>
        </w:numPr>
        <w:spacing w:after="120" w:line="240" w:lineRule="auto"/>
        <w:ind w:left="714" w:hanging="357"/>
      </w:pPr>
      <w:r w:rsidRPr="00A75A99">
        <w:t>wsparcie dla studentów ze środowisk faworyzowanych</w:t>
      </w:r>
      <w:r>
        <w:t>;</w:t>
      </w:r>
    </w:p>
    <w:p w14:paraId="17DC9BC6" w14:textId="77777777" w:rsidR="002E23AE" w:rsidRPr="00A75A99" w:rsidRDefault="002E23AE" w:rsidP="002E23AE">
      <w:pPr>
        <w:numPr>
          <w:ilvl w:val="0"/>
          <w:numId w:val="8"/>
        </w:numPr>
        <w:spacing w:after="120" w:line="240" w:lineRule="auto"/>
        <w:ind w:left="714" w:hanging="357"/>
        <w:jc w:val="both"/>
      </w:pPr>
      <w:r w:rsidRPr="00A75A99">
        <w:t xml:space="preserve">uznawalność efektów kształcenia i </w:t>
      </w:r>
      <w:proofErr w:type="spellStart"/>
      <w:r w:rsidRPr="00A75A99">
        <w:t>k</w:t>
      </w:r>
      <w:r>
        <w:t>m</w:t>
      </w:r>
      <w:r w:rsidRPr="00A75A99">
        <w:t>alifikacji</w:t>
      </w:r>
      <w:proofErr w:type="spellEnd"/>
      <w:r w:rsidRPr="00A75A99">
        <w:t>.</w:t>
      </w:r>
    </w:p>
    <w:p w14:paraId="0550CB2F" w14:textId="77777777" w:rsidR="002E23A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  <w:proofErr w:type="spellStart"/>
      <w:r w:rsidRPr="00666458">
        <w:rPr>
          <w:sz w:val="22"/>
          <w:szCs w:val="22"/>
        </w:rPr>
        <w:t>Rappaportowi</w:t>
      </w:r>
      <w:proofErr w:type="spellEnd"/>
      <w:r w:rsidRPr="00666458">
        <w:rPr>
          <w:sz w:val="22"/>
          <w:szCs w:val="22"/>
        </w:rPr>
        <w:t xml:space="preserve"> dotyczącemu szkolnictwa podstawowego towarzyszy tablica wyników w dziedzinie kształcenia zadowolonego opracowana przez </w:t>
      </w:r>
      <w:r>
        <w:rPr>
          <w:sz w:val="22"/>
          <w:szCs w:val="22"/>
        </w:rPr>
        <w:t xml:space="preserve">Europejską Centrum </w:t>
      </w:r>
      <w:proofErr w:type="spellStart"/>
      <w:r>
        <w:rPr>
          <w:sz w:val="22"/>
          <w:szCs w:val="22"/>
        </w:rPr>
        <w:t>Rowzoju</w:t>
      </w:r>
      <w:proofErr w:type="spellEnd"/>
      <w:r>
        <w:rPr>
          <w:sz w:val="22"/>
          <w:szCs w:val="22"/>
        </w:rPr>
        <w:t xml:space="preserve"> Kształcenia zawodowego</w:t>
      </w:r>
      <w:r w:rsidRPr="0066645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Europaen</w:t>
      </w:r>
      <w:proofErr w:type="spellEnd"/>
      <w:r>
        <w:rPr>
          <w:sz w:val="22"/>
          <w:szCs w:val="22"/>
        </w:rPr>
        <w:t xml:space="preserve"> </w:t>
      </w:r>
      <w:r w:rsidRPr="00FB1D6B">
        <w:rPr>
          <w:i/>
          <w:iCs/>
          <w:sz w:val="22"/>
          <w:szCs w:val="22"/>
        </w:rPr>
        <w:t xml:space="preserve">Center for the Development of </w:t>
      </w:r>
      <w:proofErr w:type="spellStart"/>
      <w:r w:rsidRPr="00FB1D6B">
        <w:rPr>
          <w:i/>
          <w:iCs/>
          <w:sz w:val="22"/>
          <w:szCs w:val="22"/>
        </w:rPr>
        <w:t>Vocational</w:t>
      </w:r>
      <w:proofErr w:type="spellEnd"/>
      <w:r w:rsidRPr="00FB1D6B">
        <w:rPr>
          <w:i/>
          <w:iCs/>
          <w:sz w:val="22"/>
          <w:szCs w:val="22"/>
        </w:rPr>
        <w:t xml:space="preserve"> Trainin</w:t>
      </w:r>
      <w:r w:rsidRPr="00FB1D6B">
        <w:rPr>
          <w:sz w:val="22"/>
          <w:szCs w:val="22"/>
        </w:rPr>
        <w:t>g</w:t>
      </w:r>
      <w:r>
        <w:rPr>
          <w:sz w:val="22"/>
          <w:szCs w:val="22"/>
        </w:rPr>
        <w:t xml:space="preserve"> – </w:t>
      </w:r>
      <w:r w:rsidRPr="00666458">
        <w:rPr>
          <w:sz w:val="22"/>
          <w:szCs w:val="22"/>
        </w:rPr>
        <w:t>CE</w:t>
      </w:r>
      <w:r>
        <w:rPr>
          <w:sz w:val="22"/>
          <w:szCs w:val="22"/>
        </w:rPr>
        <w:t>-</w:t>
      </w:r>
      <w:r w:rsidRPr="00666458">
        <w:rPr>
          <w:sz w:val="22"/>
          <w:szCs w:val="22"/>
        </w:rPr>
        <w:t>DE</w:t>
      </w:r>
      <w:r>
        <w:rPr>
          <w:sz w:val="22"/>
          <w:szCs w:val="22"/>
        </w:rPr>
        <w:t>-</w:t>
      </w:r>
      <w:r w:rsidRPr="00666458">
        <w:rPr>
          <w:sz w:val="22"/>
          <w:szCs w:val="22"/>
        </w:rPr>
        <w:t>FOP</w:t>
      </w:r>
      <w:r>
        <w:rPr>
          <w:sz w:val="22"/>
          <w:szCs w:val="22"/>
        </w:rPr>
        <w:t>)</w:t>
      </w:r>
      <w:r w:rsidRPr="00666458">
        <w:rPr>
          <w:sz w:val="22"/>
          <w:szCs w:val="22"/>
        </w:rPr>
        <w:t>.</w:t>
      </w:r>
    </w:p>
    <w:p w14:paraId="3B56BF6E" w14:textId="77777777" w:rsidR="00297C44" w:rsidRDefault="00297C44" w:rsidP="002E23AE">
      <w:pPr>
        <w:pStyle w:val="Nagwek1"/>
        <w:jc w:val="center"/>
      </w:pPr>
    </w:p>
    <w:p w14:paraId="078F6BCC" w14:textId="28F4330A" w:rsidR="002E23AE" w:rsidRDefault="002E23AE" w:rsidP="002E23AE">
      <w:pPr>
        <w:pStyle w:val="Nagwek1"/>
        <w:jc w:val="center"/>
      </w:pPr>
      <w:r>
        <w:t>Tekst 3</w:t>
      </w:r>
    </w:p>
    <w:p w14:paraId="24271A8C" w14:textId="77777777" w:rsidR="002E23A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</w:p>
    <w:p w14:paraId="0B32317F" w14:textId="77777777" w:rsidR="002E23A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391ED8">
        <w:rPr>
          <w:sz w:val="22"/>
          <w:szCs w:val="22"/>
        </w:rPr>
        <w:t xml:space="preserve">W </w:t>
      </w:r>
      <w:r>
        <w:rPr>
          <w:sz w:val="22"/>
          <w:szCs w:val="22"/>
        </w:rPr>
        <w:t>książeczce</w:t>
      </w:r>
      <w:r w:rsidRPr="00391ED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91ED8">
        <w:rPr>
          <w:sz w:val="22"/>
          <w:szCs w:val="22"/>
        </w:rPr>
        <w:t xml:space="preserve">prezentowany jest zestaw dziesięciu </w:t>
      </w:r>
      <w:proofErr w:type="spellStart"/>
      <w:r w:rsidRPr="00391ED8">
        <w:rPr>
          <w:sz w:val="22"/>
          <w:szCs w:val="22"/>
        </w:rPr>
        <w:t>w</w:t>
      </w:r>
      <w:r>
        <w:rPr>
          <w:sz w:val="22"/>
          <w:szCs w:val="22"/>
        </w:rPr>
        <w:t>z</w:t>
      </w:r>
      <w:r w:rsidRPr="00391ED8">
        <w:rPr>
          <w:sz w:val="22"/>
          <w:szCs w:val="22"/>
        </w:rPr>
        <w:t>kaźników</w:t>
      </w:r>
      <w:proofErr w:type="spellEnd"/>
      <w:r>
        <w:rPr>
          <w:sz w:val="22"/>
          <w:szCs w:val="22"/>
        </w:rPr>
        <w:t xml:space="preserve"> </w:t>
      </w:r>
      <w:r w:rsidRPr="00391ED8">
        <w:rPr>
          <w:sz w:val="22"/>
          <w:szCs w:val="22"/>
        </w:rPr>
        <w:t xml:space="preserve">, z których każdy jest powiązany z konkretną zasadą Europejskiego Obszaru Szkolnictwa </w:t>
      </w:r>
      <w:proofErr w:type="spellStart"/>
      <w:r w:rsidRPr="00391ED8">
        <w:rPr>
          <w:sz w:val="22"/>
          <w:szCs w:val="22"/>
        </w:rPr>
        <w:t>Wyszego</w:t>
      </w:r>
      <w:proofErr w:type="spellEnd"/>
      <w:r w:rsidRPr="00391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 czyli European </w:t>
      </w:r>
      <w:proofErr w:type="spellStart"/>
      <w:r>
        <w:rPr>
          <w:sz w:val="22"/>
          <w:szCs w:val="22"/>
        </w:rPr>
        <w:t>Hire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Erea</w:t>
      </w:r>
      <w:proofErr w:type="spellEnd"/>
      <w:r>
        <w:rPr>
          <w:sz w:val="22"/>
          <w:szCs w:val="22"/>
        </w:rPr>
        <w:t xml:space="preserve"> – EHEA)</w:t>
      </w:r>
      <w:r w:rsidRPr="00391ED8">
        <w:rPr>
          <w:sz w:val="22"/>
          <w:szCs w:val="22"/>
        </w:rPr>
        <w:t xml:space="preserve">w jego wymiarze społecznym </w:t>
      </w:r>
      <w:r>
        <w:rPr>
          <w:sz w:val="22"/>
          <w:szCs w:val="22"/>
        </w:rPr>
        <w:t>wraz z</w:t>
      </w:r>
      <w:r w:rsidRPr="00391ED8">
        <w:rPr>
          <w:sz w:val="22"/>
          <w:szCs w:val="22"/>
        </w:rPr>
        <w:t xml:space="preserve"> odpowiadającymi jej wytycznymi. Efektem tego zestawienia jest aktualny przegląd działań, jakie systemy europejskie</w:t>
      </w:r>
      <w:r>
        <w:rPr>
          <w:sz w:val="22"/>
          <w:szCs w:val="22"/>
        </w:rPr>
        <w:t>j</w:t>
      </w:r>
      <w:r w:rsidRPr="00391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edukacji </w:t>
      </w:r>
      <w:r w:rsidRPr="00391ED8">
        <w:rPr>
          <w:sz w:val="22"/>
          <w:szCs w:val="22"/>
        </w:rPr>
        <w:t xml:space="preserve">realizują w </w:t>
      </w:r>
      <w:r>
        <w:rPr>
          <w:sz w:val="22"/>
          <w:szCs w:val="22"/>
        </w:rPr>
        <w:t>zakresie</w:t>
      </w:r>
      <w:r w:rsidRPr="00391ED8">
        <w:rPr>
          <w:sz w:val="22"/>
          <w:szCs w:val="22"/>
        </w:rPr>
        <w:t xml:space="preserve"> polityki równości i włączania społecznego w szkolnictwie wyższym. Przedstawione w opracow</w:t>
      </w:r>
      <w:r>
        <w:rPr>
          <w:sz w:val="22"/>
          <w:szCs w:val="22"/>
        </w:rPr>
        <w:t>yw</w:t>
      </w:r>
      <w:r w:rsidRPr="00391ED8">
        <w:rPr>
          <w:sz w:val="22"/>
          <w:szCs w:val="22"/>
        </w:rPr>
        <w:t xml:space="preserve">aniu wskaźniki tworzą wstępne ramy monitorowania polityki w zakresie równości.  </w:t>
      </w:r>
      <w:r>
        <w:rPr>
          <w:sz w:val="22"/>
          <w:szCs w:val="22"/>
        </w:rPr>
        <w:t>Ponadto r</w:t>
      </w:r>
      <w:r w:rsidRPr="00391ED8">
        <w:rPr>
          <w:sz w:val="22"/>
          <w:szCs w:val="22"/>
        </w:rPr>
        <w:t xml:space="preserve">aport oferuje narzędzie do porównawczego mapowania sytuacji </w:t>
      </w:r>
      <w:r>
        <w:rPr>
          <w:sz w:val="22"/>
          <w:szCs w:val="22"/>
        </w:rPr>
        <w:t xml:space="preserve">społecznej </w:t>
      </w:r>
      <w:r w:rsidRPr="00391ED8">
        <w:rPr>
          <w:sz w:val="22"/>
          <w:szCs w:val="22"/>
        </w:rPr>
        <w:t>w poszczególnych krajach</w:t>
      </w:r>
      <w:r>
        <w:rPr>
          <w:sz w:val="22"/>
          <w:szCs w:val="22"/>
        </w:rPr>
        <w:t xml:space="preserve"> w Europy</w:t>
      </w:r>
      <w:r w:rsidRPr="00391ED8">
        <w:rPr>
          <w:sz w:val="22"/>
          <w:szCs w:val="22"/>
        </w:rPr>
        <w:t xml:space="preserve">, które może </w:t>
      </w:r>
      <w:r>
        <w:rPr>
          <w:sz w:val="22"/>
          <w:szCs w:val="22"/>
        </w:rPr>
        <w:t>by wykorzystywane</w:t>
      </w:r>
      <w:r w:rsidRPr="00391ED8">
        <w:rPr>
          <w:sz w:val="22"/>
          <w:szCs w:val="22"/>
        </w:rPr>
        <w:t xml:space="preserve"> </w:t>
      </w:r>
      <w:proofErr w:type="spellStart"/>
      <w:r w:rsidRPr="00391ED8">
        <w:rPr>
          <w:sz w:val="22"/>
          <w:szCs w:val="22"/>
        </w:rPr>
        <w:t>p</w:t>
      </w:r>
      <w:r>
        <w:rPr>
          <w:sz w:val="22"/>
          <w:szCs w:val="22"/>
        </w:rPr>
        <w:t>zr</w:t>
      </w:r>
      <w:r w:rsidRPr="00391ED8">
        <w:rPr>
          <w:sz w:val="22"/>
          <w:szCs w:val="22"/>
        </w:rPr>
        <w:t>ez</w:t>
      </w:r>
      <w:proofErr w:type="spellEnd"/>
      <w:r w:rsidRPr="00391ED8">
        <w:rPr>
          <w:sz w:val="22"/>
          <w:szCs w:val="22"/>
        </w:rPr>
        <w:t xml:space="preserve"> przyszłe </w:t>
      </w:r>
      <w:proofErr w:type="spellStart"/>
      <w:r w:rsidRPr="00391ED8">
        <w:rPr>
          <w:sz w:val="22"/>
          <w:szCs w:val="22"/>
        </w:rPr>
        <w:t>E</w:t>
      </w:r>
      <w:r>
        <w:rPr>
          <w:sz w:val="22"/>
          <w:szCs w:val="22"/>
        </w:rPr>
        <w:t>w</w:t>
      </w:r>
      <w:r w:rsidRPr="00391ED8">
        <w:rPr>
          <w:sz w:val="22"/>
          <w:szCs w:val="22"/>
        </w:rPr>
        <w:t>ropejskie</w:t>
      </w:r>
      <w:proofErr w:type="spellEnd"/>
      <w:r w:rsidRPr="00391ED8">
        <w:rPr>
          <w:sz w:val="22"/>
          <w:szCs w:val="22"/>
        </w:rPr>
        <w:t xml:space="preserve"> Obserwatorium Szkolnictwa Wyższego.</w:t>
      </w:r>
    </w:p>
    <w:p w14:paraId="1FA1974D" w14:textId="77777777" w:rsidR="002E23AE" w:rsidRDefault="002E23AE" w:rsidP="002E23AE">
      <w:pPr>
        <w:pStyle w:val="Nagwek1"/>
        <w:jc w:val="center"/>
      </w:pPr>
      <w:r>
        <w:t>Tekst 4</w:t>
      </w:r>
    </w:p>
    <w:p w14:paraId="1536275D" w14:textId="77777777" w:rsidR="002E23A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</w:p>
    <w:p w14:paraId="5990CBB6" w14:textId="77777777" w:rsidR="002E23AE" w:rsidRPr="00FD3A5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FD3A5E">
        <w:rPr>
          <w:sz w:val="22"/>
          <w:szCs w:val="22"/>
        </w:rPr>
        <w:t xml:space="preserve">Walka </w:t>
      </w:r>
      <w:proofErr w:type="spellStart"/>
      <w:r w:rsidRPr="00FD3A5E">
        <w:rPr>
          <w:sz w:val="22"/>
          <w:szCs w:val="22"/>
        </w:rPr>
        <w:t>zalfabetyz</w:t>
      </w:r>
      <w:r>
        <w:rPr>
          <w:sz w:val="22"/>
          <w:szCs w:val="22"/>
        </w:rPr>
        <w:t>owaniem</w:t>
      </w:r>
      <w:proofErr w:type="spellEnd"/>
      <w:r w:rsidRPr="00FD3A5E">
        <w:rPr>
          <w:sz w:val="22"/>
          <w:szCs w:val="22"/>
        </w:rPr>
        <w:t xml:space="preserve"> i z zaniedbaniami edukacyjnymi pozostała dużym wyzwaniem również po I wojnie światowej. W tym okresie w organizację oświaty dorosłych aktywnie włączyło się państwo. Władze </w:t>
      </w:r>
      <w:proofErr w:type="spellStart"/>
      <w:r w:rsidRPr="00FD3A5E">
        <w:rPr>
          <w:sz w:val="22"/>
          <w:szCs w:val="22"/>
        </w:rPr>
        <w:t>PeeReLu</w:t>
      </w:r>
      <w:proofErr w:type="spellEnd"/>
      <w:r w:rsidRPr="00FD3A5E">
        <w:rPr>
          <w:sz w:val="22"/>
          <w:szCs w:val="22"/>
        </w:rPr>
        <w:t xml:space="preserve">, na mocy ustawy o </w:t>
      </w:r>
      <w:proofErr w:type="spellStart"/>
      <w:r w:rsidRPr="00FD3A5E">
        <w:rPr>
          <w:sz w:val="22"/>
          <w:szCs w:val="22"/>
        </w:rPr>
        <w:t>likfidacji</w:t>
      </w:r>
      <w:proofErr w:type="spellEnd"/>
      <w:r w:rsidRPr="00FD3A5E">
        <w:rPr>
          <w:sz w:val="22"/>
          <w:szCs w:val="22"/>
        </w:rPr>
        <w:t xml:space="preserve"> analfabetyzmu</w:t>
      </w:r>
      <w:r w:rsidRPr="00FD3A5E">
        <w:rPr>
          <w:sz w:val="22"/>
          <w:szCs w:val="22"/>
          <w:vertAlign w:val="superscript"/>
        </w:rPr>
        <w:footnoteReference w:id="1"/>
      </w:r>
      <w:r w:rsidRPr="00FD3A5E">
        <w:rPr>
          <w:sz w:val="22"/>
          <w:szCs w:val="22"/>
        </w:rPr>
        <w:t xml:space="preserve"> ( 1949), wprowadziły kształcenia na poziomie podstawowych dla osób między 14 a 50 miesiącem życia, a za uchylanie się od niego groziły kary administracyjne. W ciągu 3 lat w obligatoryjnym kształceniu wzięło udział ponad 600 000tys. osób. W r. 1956 roku rozpoczęto program dokształcania dorosłych do 40 r</w:t>
      </w:r>
      <w:r>
        <w:rPr>
          <w:sz w:val="22"/>
          <w:szCs w:val="22"/>
        </w:rPr>
        <w:t>.</w:t>
      </w:r>
      <w:r w:rsidRPr="00FD3A5E">
        <w:rPr>
          <w:sz w:val="22"/>
          <w:szCs w:val="22"/>
        </w:rPr>
        <w:t>ż</w:t>
      </w:r>
      <w:r>
        <w:rPr>
          <w:sz w:val="22"/>
          <w:szCs w:val="22"/>
        </w:rPr>
        <w:t>.</w:t>
      </w:r>
      <w:r w:rsidRPr="00FD3A5E">
        <w:rPr>
          <w:sz w:val="22"/>
          <w:szCs w:val="22"/>
        </w:rPr>
        <w:t xml:space="preserve"> bez wykształcenia podstawowego, w którym wzięło udział ponad 2 mln osób. W związku z znacznymi startami w szeregach kadry pedagogicznej (ubytek ok. 30% w porównaniu z 1939 rokiem) zaistniała konieczność szybkiego wykształcenia nowego pokolenia nauczycieli, które byłoby w stanie sprostać </w:t>
      </w:r>
      <w:proofErr w:type="spellStart"/>
      <w:r w:rsidRPr="00FD3A5E">
        <w:rPr>
          <w:sz w:val="22"/>
          <w:szCs w:val="22"/>
        </w:rPr>
        <w:t>szerokozakrojonej</w:t>
      </w:r>
      <w:proofErr w:type="spellEnd"/>
      <w:r w:rsidRPr="00FD3A5E">
        <w:rPr>
          <w:sz w:val="22"/>
          <w:szCs w:val="22"/>
        </w:rPr>
        <w:t xml:space="preserve"> akcji oświatowej. Miały temu podołać tworzone 2-letnie licea pedagogiczne, stworzono tez możliwość kierunkowego dokształcania dla osób z wykształceniem średnim.</w:t>
      </w:r>
    </w:p>
    <w:p w14:paraId="22E3F669" w14:textId="77777777" w:rsidR="002E23AE" w:rsidRPr="00FD3A5E" w:rsidRDefault="002E23AE" w:rsidP="002E23AE">
      <w:pPr>
        <w:pStyle w:val="Normalny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FD3A5E">
        <w:rPr>
          <w:sz w:val="22"/>
          <w:szCs w:val="22"/>
        </w:rPr>
        <w:t>Poza formalnym systemem oświatowym koordynowanym przez państwo,</w:t>
      </w:r>
      <w:r w:rsidRPr="00FD3A5E">
        <w:rPr>
          <w:sz w:val="22"/>
          <w:szCs w:val="22"/>
        </w:rPr>
        <w:footnoteReference w:id="2"/>
      </w:r>
      <w:r w:rsidRPr="00FD3A5E">
        <w:rPr>
          <w:sz w:val="22"/>
          <w:szCs w:val="22"/>
        </w:rPr>
        <w:t xml:space="preserve"> w pierwszych latach po drugiej wojnie z powodzeniem </w:t>
      </w:r>
      <w:proofErr w:type="spellStart"/>
      <w:r w:rsidRPr="00FD3A5E">
        <w:rPr>
          <w:sz w:val="22"/>
          <w:szCs w:val="22"/>
        </w:rPr>
        <w:t>działałały</w:t>
      </w:r>
      <w:proofErr w:type="spellEnd"/>
      <w:r w:rsidRPr="00FD3A5E">
        <w:rPr>
          <w:sz w:val="22"/>
          <w:szCs w:val="22"/>
        </w:rPr>
        <w:t xml:space="preserve"> niezależne organizacje powołane jeszcze w okresie pomiędzy wojennym (odrodziła się np. sieć uniwersytetów ludowych). Jednak z końcem lat 40. nastąpiła jednakże centralizacja kształcenia kosztem likwidacji wielu niezależnych jednostek (w tym wspomnianych uniwersytetów, a także wielu towarzystw naukowych). W ich miejsce utworzono podporządkowane władzom centralnym Towarzystwo Wiary Powszechnej, organizację ze względu na swój status oddaloną od neutralności politycznej. Okres oświaty zaangażowanej ideologicznie trwał mniej więcej do połowy </w:t>
      </w:r>
      <w:r w:rsidRPr="00FD3A5E">
        <w:rPr>
          <w:sz w:val="22"/>
          <w:szCs w:val="22"/>
        </w:rPr>
        <w:lastRenderedPageBreak/>
        <w:t>lat 50-tych, następnie zaczęły odradzać się niezależne stowarzyszenia oświatowe, wskrzeszano uniwersytety ludowe i koła samo kształceniowe.</w:t>
      </w:r>
    </w:p>
    <w:p w14:paraId="1E70E633" w14:textId="77777777" w:rsidR="002E23AE" w:rsidRPr="00BE12C6" w:rsidRDefault="002E23AE" w:rsidP="002E23AE">
      <w:pPr>
        <w:pStyle w:val="Nagwek1"/>
        <w:jc w:val="center"/>
        <w:rPr>
          <w:lang w:val="en-US"/>
        </w:rPr>
      </w:pPr>
      <w:proofErr w:type="spellStart"/>
      <w:r w:rsidRPr="00BE12C6">
        <w:rPr>
          <w:lang w:val="en-US"/>
        </w:rPr>
        <w:t>Tekst</w:t>
      </w:r>
      <w:proofErr w:type="spellEnd"/>
      <w:r w:rsidRPr="00BE12C6">
        <w:rPr>
          <w:lang w:val="en-US"/>
        </w:rPr>
        <w:t xml:space="preserve"> 5</w:t>
      </w:r>
    </w:p>
    <w:p w14:paraId="6C3BF403" w14:textId="77777777" w:rsidR="002E23AE" w:rsidRDefault="002E23AE" w:rsidP="002E23AE">
      <w:pPr>
        <w:spacing w:after="120" w:line="360" w:lineRule="auto"/>
        <w:jc w:val="both"/>
        <w:rPr>
          <w:b/>
          <w:bCs/>
          <w:lang w:val="en-US"/>
        </w:rPr>
      </w:pPr>
    </w:p>
    <w:p w14:paraId="530D0DDA" w14:textId="77777777" w:rsidR="002E23AE" w:rsidRPr="00BE12C6" w:rsidRDefault="002E23AE" w:rsidP="002E23AE">
      <w:pPr>
        <w:spacing w:after="120" w:line="360" w:lineRule="auto"/>
        <w:jc w:val="both"/>
        <w:rPr>
          <w:b/>
          <w:bCs/>
          <w:lang w:val="en-US"/>
        </w:rPr>
      </w:pPr>
      <w:proofErr w:type="spellStart"/>
      <w:r w:rsidRPr="00BE12C6">
        <w:rPr>
          <w:b/>
          <w:bCs/>
          <w:lang w:val="en-US"/>
        </w:rPr>
        <w:t>Fugures</w:t>
      </w:r>
      <w:proofErr w:type="spellEnd"/>
      <w:r w:rsidRPr="00BE12C6">
        <w:rPr>
          <w:b/>
          <w:bCs/>
          <w:lang w:val="en-US"/>
        </w:rPr>
        <w:t xml:space="preserve"> 1.</w:t>
      </w:r>
    </w:p>
    <w:p w14:paraId="36D93A4A" w14:textId="77777777" w:rsidR="002E23AE" w:rsidRPr="00BE12C6" w:rsidRDefault="002E23AE" w:rsidP="002E23AE">
      <w:pPr>
        <w:spacing w:after="120" w:line="360" w:lineRule="auto"/>
        <w:jc w:val="both"/>
        <w:rPr>
          <w:b/>
          <w:bCs/>
          <w:lang w:val="en-US"/>
        </w:rPr>
      </w:pPr>
      <w:r w:rsidRPr="00BE12C6">
        <w:rPr>
          <w:b/>
          <w:bCs/>
          <w:lang w:val="en-US"/>
        </w:rPr>
        <w:t>Positives and negatives of online education during the Erasmus studies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23AE" w:rsidRPr="00824721" w14:paraId="0965CFA4" w14:textId="77777777" w:rsidTr="008F10E1">
        <w:tc>
          <w:tcPr>
            <w:tcW w:w="4531" w:type="dxa"/>
          </w:tcPr>
          <w:p w14:paraId="469DF768" w14:textId="77777777" w:rsidR="002E23AE" w:rsidRPr="00824721" w:rsidRDefault="002E23AE" w:rsidP="008F10E1">
            <w:pPr>
              <w:spacing w:after="120" w:line="360" w:lineRule="auto"/>
              <w:jc w:val="center"/>
            </w:pPr>
            <w:proofErr w:type="spellStart"/>
            <w:r w:rsidRPr="00824721">
              <w:t>Negatives</w:t>
            </w:r>
            <w:proofErr w:type="spellEnd"/>
          </w:p>
        </w:tc>
        <w:tc>
          <w:tcPr>
            <w:tcW w:w="4531" w:type="dxa"/>
          </w:tcPr>
          <w:p w14:paraId="35293868" w14:textId="77777777" w:rsidR="002E23AE" w:rsidRPr="00824721" w:rsidRDefault="002E23AE" w:rsidP="008F10E1">
            <w:pPr>
              <w:spacing w:after="120" w:line="360" w:lineRule="auto"/>
              <w:jc w:val="center"/>
              <w:rPr>
                <w:b/>
                <w:bCs/>
              </w:rPr>
            </w:pPr>
            <w:r w:rsidRPr="00824721">
              <w:rPr>
                <w:b/>
                <w:bCs/>
              </w:rPr>
              <w:t>POSITIVES</w:t>
            </w:r>
          </w:p>
        </w:tc>
      </w:tr>
      <w:tr w:rsidR="002E23AE" w:rsidRPr="00297C44" w14:paraId="6610DF66" w14:textId="77777777" w:rsidTr="008F10E1">
        <w:tc>
          <w:tcPr>
            <w:tcW w:w="4531" w:type="dxa"/>
          </w:tcPr>
          <w:p w14:paraId="21DB8299" w14:textId="77777777" w:rsidR="002E23AE" w:rsidRPr="00BE12C6" w:rsidRDefault="002E23AE" w:rsidP="008F10E1">
            <w:pPr>
              <w:spacing w:after="1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BE12C6">
              <w:rPr>
                <w:sz w:val="20"/>
                <w:szCs w:val="20"/>
                <w:lang w:val="en-US"/>
              </w:rPr>
              <w:t>different learning experience than in the home country</w:t>
            </w:r>
          </w:p>
        </w:tc>
        <w:tc>
          <w:tcPr>
            <w:tcW w:w="4531" w:type="dxa"/>
          </w:tcPr>
          <w:p w14:paraId="7D2DEE03" w14:textId="77777777" w:rsidR="002E23AE" w:rsidRPr="00BE12C6" w:rsidRDefault="002E23AE" w:rsidP="008F10E1">
            <w:pPr>
              <w:spacing w:after="120" w:line="360" w:lineRule="auto"/>
              <w:jc w:val="both"/>
              <w:rPr>
                <w:lang w:val="en-US"/>
              </w:rPr>
            </w:pPr>
            <w:r w:rsidRPr="00BE12C6">
              <w:rPr>
                <w:lang w:val="en-US"/>
              </w:rPr>
              <w:t>difficulties in signing up for the courses</w:t>
            </w:r>
          </w:p>
        </w:tc>
      </w:tr>
      <w:tr w:rsidR="002E23AE" w:rsidRPr="00824721" w14:paraId="12827132" w14:textId="77777777" w:rsidTr="008F10E1">
        <w:tc>
          <w:tcPr>
            <w:tcW w:w="4531" w:type="dxa"/>
          </w:tcPr>
          <w:p w14:paraId="30574511" w14:textId="77777777" w:rsidR="002E23AE" w:rsidRPr="00824721" w:rsidRDefault="002E23AE" w:rsidP="008F10E1">
            <w:pPr>
              <w:spacing w:after="120" w:line="360" w:lineRule="auto"/>
              <w:jc w:val="both"/>
            </w:pPr>
            <w:proofErr w:type="spellStart"/>
            <w:r w:rsidRPr="00824721">
              <w:t>access</w:t>
            </w:r>
            <w:proofErr w:type="spellEnd"/>
            <w:r w:rsidRPr="00824721">
              <w:t xml:space="preserve"> to </w:t>
            </w:r>
            <w:proofErr w:type="spellStart"/>
            <w:r w:rsidRPr="00824721">
              <w:t>different</w:t>
            </w:r>
            <w:proofErr w:type="spellEnd"/>
            <w:r w:rsidRPr="00824721">
              <w:t xml:space="preserve"> </w:t>
            </w:r>
            <w:proofErr w:type="spellStart"/>
            <w:r w:rsidRPr="00824721">
              <w:t>courses</w:t>
            </w:r>
            <w:proofErr w:type="spellEnd"/>
          </w:p>
        </w:tc>
        <w:tc>
          <w:tcPr>
            <w:tcW w:w="4531" w:type="dxa"/>
          </w:tcPr>
          <w:p w14:paraId="1F015E11" w14:textId="77777777" w:rsidR="002E23AE" w:rsidRPr="00824721" w:rsidRDefault="002E23AE" w:rsidP="008F10E1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24721">
              <w:rPr>
                <w:sz w:val="20"/>
                <w:szCs w:val="20"/>
              </w:rPr>
              <w:t>What</w:t>
            </w:r>
            <w:proofErr w:type="spellEnd"/>
            <w:r w:rsidRPr="00824721">
              <w:rPr>
                <w:sz w:val="20"/>
                <w:szCs w:val="20"/>
              </w:rPr>
              <w:t xml:space="preserve"> </w:t>
            </w:r>
            <w:proofErr w:type="spellStart"/>
            <w:r w:rsidRPr="00824721">
              <w:rPr>
                <w:sz w:val="20"/>
                <w:szCs w:val="20"/>
              </w:rPr>
              <w:t>else</w:t>
            </w:r>
            <w:proofErr w:type="spellEnd"/>
            <w:r w:rsidRPr="00824721">
              <w:rPr>
                <w:sz w:val="20"/>
                <w:szCs w:val="20"/>
              </w:rPr>
              <w:t>?</w:t>
            </w:r>
          </w:p>
        </w:tc>
      </w:tr>
      <w:tr w:rsidR="002E23AE" w:rsidRPr="00297C44" w14:paraId="2AB0EF17" w14:textId="77777777" w:rsidTr="008F10E1">
        <w:tc>
          <w:tcPr>
            <w:tcW w:w="4531" w:type="dxa"/>
          </w:tcPr>
          <w:p w14:paraId="313D356D" w14:textId="77777777" w:rsidR="002E23AE" w:rsidRPr="00824721" w:rsidRDefault="002E23AE" w:rsidP="008F10E1">
            <w:pPr>
              <w:spacing w:after="120" w:line="360" w:lineRule="auto"/>
              <w:jc w:val="both"/>
              <w:rPr>
                <w:b/>
                <w:bCs/>
              </w:rPr>
            </w:pPr>
            <w:proofErr w:type="spellStart"/>
            <w:r w:rsidRPr="00824721">
              <w:rPr>
                <w:b/>
                <w:bCs/>
              </w:rPr>
              <w:t>sometimes</w:t>
            </w:r>
            <w:proofErr w:type="spellEnd"/>
            <w:r w:rsidRPr="00824721">
              <w:rPr>
                <w:b/>
                <w:bCs/>
              </w:rPr>
              <w:t xml:space="preserve"> </w:t>
            </w:r>
            <w:proofErr w:type="spellStart"/>
            <w:r w:rsidRPr="00824721">
              <w:rPr>
                <w:b/>
                <w:bCs/>
              </w:rPr>
              <w:t>difficult</w:t>
            </w:r>
            <w:proofErr w:type="spellEnd"/>
            <w:r w:rsidRPr="00824721">
              <w:rPr>
                <w:b/>
                <w:bCs/>
              </w:rPr>
              <w:t xml:space="preserve"> </w:t>
            </w:r>
            <w:proofErr w:type="spellStart"/>
            <w:r w:rsidRPr="00824721">
              <w:rPr>
                <w:b/>
                <w:bCs/>
              </w:rPr>
              <w:t>communication</w:t>
            </w:r>
            <w:proofErr w:type="spellEnd"/>
          </w:p>
        </w:tc>
        <w:tc>
          <w:tcPr>
            <w:tcW w:w="4531" w:type="dxa"/>
          </w:tcPr>
          <w:p w14:paraId="14375B29" w14:textId="77777777" w:rsidR="002E23AE" w:rsidRPr="00BE12C6" w:rsidRDefault="002E23AE" w:rsidP="008F10E1">
            <w:pPr>
              <w:spacing w:after="120" w:line="360" w:lineRule="auto"/>
              <w:jc w:val="both"/>
              <w:rPr>
                <w:sz w:val="20"/>
                <w:szCs w:val="20"/>
                <w:lang w:val="en-US"/>
              </w:rPr>
            </w:pPr>
            <w:r w:rsidRPr="00BE12C6">
              <w:rPr>
                <w:sz w:val="20"/>
                <w:szCs w:val="20"/>
                <w:lang w:val="en-US"/>
              </w:rPr>
              <w:t>passive education, no discussions with teachers and other students in courses</w:t>
            </w:r>
          </w:p>
        </w:tc>
      </w:tr>
    </w:tbl>
    <w:p w14:paraId="60D10BDC" w14:textId="77777777" w:rsidR="002E23AE" w:rsidRPr="00BE12C6" w:rsidRDefault="002E23AE" w:rsidP="002E23AE">
      <w:pPr>
        <w:spacing w:after="120" w:line="360" w:lineRule="auto"/>
        <w:jc w:val="both"/>
        <w:rPr>
          <w:i/>
          <w:iCs/>
          <w:lang w:val="en-US"/>
        </w:rPr>
      </w:pPr>
      <w:r w:rsidRPr="00BE12C6">
        <w:rPr>
          <w:i/>
          <w:iCs/>
          <w:lang w:val="en-US"/>
        </w:rPr>
        <w:t xml:space="preserve">Source: </w:t>
      </w:r>
      <w:r w:rsidRPr="00BE12C6">
        <w:rPr>
          <w:lang w:val="en-US"/>
        </w:rPr>
        <w:t>own</w:t>
      </w:r>
      <w:r w:rsidRPr="00BE12C6">
        <w:rPr>
          <w:i/>
          <w:iCs/>
          <w:lang w:val="en-US"/>
        </w:rPr>
        <w:t xml:space="preserve"> </w:t>
      </w:r>
      <w:proofErr w:type="spellStart"/>
      <w:r w:rsidRPr="00BE12C6">
        <w:rPr>
          <w:i/>
          <w:iCs/>
          <w:lang w:val="en-US"/>
        </w:rPr>
        <w:t>labour</w:t>
      </w:r>
      <w:proofErr w:type="spellEnd"/>
      <w:r w:rsidRPr="00BE12C6">
        <w:rPr>
          <w:i/>
          <w:iCs/>
          <w:lang w:val="en-US"/>
        </w:rPr>
        <w:t>.</w:t>
      </w:r>
    </w:p>
    <w:p w14:paraId="4EC0F434" w14:textId="77777777" w:rsidR="002E23AE" w:rsidRPr="00BE12C6" w:rsidRDefault="002E23AE" w:rsidP="002E23AE">
      <w:pPr>
        <w:spacing w:after="120" w:line="360" w:lineRule="auto"/>
        <w:jc w:val="both"/>
        <w:rPr>
          <w:b/>
          <w:bCs/>
          <w:u w:val="single"/>
          <w:lang w:val="en-US"/>
        </w:rPr>
      </w:pPr>
      <w:r w:rsidRPr="00BE12C6">
        <w:rPr>
          <w:b/>
          <w:bCs/>
          <w:u w:val="single"/>
          <w:lang w:val="en-US"/>
        </w:rPr>
        <w:t>EMOTIONAL: CARACTERISTICS</w:t>
      </w:r>
    </w:p>
    <w:p w14:paraId="5B653D57" w14:textId="77777777" w:rsidR="002E23AE" w:rsidRDefault="002E23AE" w:rsidP="002E23AE">
      <w:pPr>
        <w:spacing w:after="120" w:line="360" w:lineRule="auto"/>
        <w:jc w:val="both"/>
        <w:rPr>
          <w:lang w:val="en-US"/>
        </w:rPr>
      </w:pPr>
      <w:r w:rsidRPr="00BE12C6">
        <w:rPr>
          <w:lang w:val="en-US"/>
        </w:rPr>
        <w:t xml:space="preserve">Among the surveyed students, the greatest number were students in first-cycle studies (bachelor’s studies) – 75%. Every fourth respondent (15%) was a second-cycle student (Masters’ studies) and only 5 people were on doctoral studies. Due to the small number of doctoral students, in further </w:t>
      </w:r>
      <w:proofErr w:type="spellStart"/>
      <w:r w:rsidRPr="00BE12C6">
        <w:rPr>
          <w:lang w:val="en-US"/>
        </w:rPr>
        <w:t>anaysis</w:t>
      </w:r>
      <w:proofErr w:type="spellEnd"/>
      <w:r w:rsidRPr="00BE12C6">
        <w:rPr>
          <w:lang w:val="en-US"/>
        </w:rPr>
        <w:t xml:space="preserve"> we look at doctoral students together width MA students.</w:t>
      </w:r>
    </w:p>
    <w:p w14:paraId="55EF1343" w14:textId="77777777" w:rsidR="002E23AE" w:rsidRDefault="002E23AE" w:rsidP="002E23AE">
      <w:pPr>
        <w:spacing w:after="120" w:line="360" w:lineRule="auto"/>
        <w:jc w:val="both"/>
        <w:rPr>
          <w:lang w:val="en-US"/>
        </w:rPr>
      </w:pPr>
    </w:p>
    <w:p w14:paraId="4FC2D751" w14:textId="77777777" w:rsidR="002E23AE" w:rsidRPr="0049108B" w:rsidRDefault="002E23AE" w:rsidP="002E23AE">
      <w:pPr>
        <w:pStyle w:val="Nagwek1"/>
        <w:jc w:val="center"/>
      </w:pPr>
      <w:r w:rsidRPr="0049108B">
        <w:t>Tekst 6</w:t>
      </w:r>
    </w:p>
    <w:p w14:paraId="00CB2070" w14:textId="77777777" w:rsidR="002E23AE" w:rsidRPr="0049108B" w:rsidRDefault="002E23AE" w:rsidP="002E23AE"/>
    <w:p w14:paraId="0BA80C48" w14:textId="77777777" w:rsidR="002E23AE" w:rsidRPr="00BE12C6" w:rsidRDefault="002E23AE" w:rsidP="002E23AE">
      <w:pPr>
        <w:spacing w:line="360" w:lineRule="auto"/>
        <w:jc w:val="both"/>
        <w:rPr>
          <w:bCs/>
        </w:rPr>
      </w:pPr>
      <w:r w:rsidRPr="00BE12C6">
        <w:rPr>
          <w:bCs/>
        </w:rPr>
        <w:t>[strap] Cykl paneli obywatelskich</w:t>
      </w:r>
    </w:p>
    <w:p w14:paraId="48EBE459" w14:textId="77777777" w:rsidR="002E23AE" w:rsidRPr="00BE12C6" w:rsidRDefault="002E23AE" w:rsidP="002E23AE">
      <w:pPr>
        <w:spacing w:line="360" w:lineRule="auto"/>
        <w:jc w:val="both"/>
      </w:pPr>
      <w:r w:rsidRPr="00BE12C6">
        <w:rPr>
          <w:bCs/>
        </w:rPr>
        <w:t>[tytuł]</w:t>
      </w:r>
      <w:r w:rsidRPr="00BE12C6">
        <w:rPr>
          <w:b/>
          <w:bCs/>
        </w:rPr>
        <w:t xml:space="preserve"> Europejczycy o przyszłości Erasmusa</w:t>
      </w:r>
      <w:r w:rsidRPr="00BE12C6">
        <w:t xml:space="preserve"> </w:t>
      </w:r>
    </w:p>
    <w:p w14:paraId="1CA40689" w14:textId="77777777" w:rsidR="002E23AE" w:rsidRPr="00BE12C6" w:rsidRDefault="002E23AE" w:rsidP="002E23AE">
      <w:pPr>
        <w:spacing w:line="360" w:lineRule="auto"/>
        <w:jc w:val="both"/>
        <w:rPr>
          <w:b/>
          <w:iCs/>
        </w:rPr>
      </w:pPr>
      <w:r w:rsidRPr="00BE12C6">
        <w:t>[</w:t>
      </w:r>
      <w:proofErr w:type="spellStart"/>
      <w:r w:rsidRPr="00BE12C6">
        <w:t>lead</w:t>
      </w:r>
      <w:proofErr w:type="spellEnd"/>
      <w:r w:rsidRPr="00BE12C6">
        <w:t xml:space="preserve">] </w:t>
      </w:r>
      <w:r w:rsidRPr="00BE12C6">
        <w:rPr>
          <w:b/>
        </w:rPr>
        <w:t xml:space="preserve">Na wszystkich uczelniach powinny być studia w angielskim, a z </w:t>
      </w:r>
      <w:proofErr w:type="spellStart"/>
      <w:r w:rsidRPr="00BE12C6">
        <w:rPr>
          <w:b/>
        </w:rPr>
        <w:t>erasmusowskich</w:t>
      </w:r>
      <w:proofErr w:type="spellEnd"/>
      <w:r w:rsidRPr="00BE12C6">
        <w:rPr>
          <w:b/>
        </w:rPr>
        <w:t xml:space="preserve"> mobilności mogły by korzystać także </w:t>
      </w:r>
      <w:r w:rsidRPr="00BE12C6">
        <w:rPr>
          <w:b/>
          <w:iCs/>
        </w:rPr>
        <w:t xml:space="preserve">osoby starsze i również dzieci – to tylko 2 z 21 </w:t>
      </w:r>
      <w:proofErr w:type="spellStart"/>
      <w:r w:rsidRPr="00BE12C6">
        <w:rPr>
          <w:b/>
          <w:iCs/>
        </w:rPr>
        <w:t>rekomendacj</w:t>
      </w:r>
      <w:proofErr w:type="spellEnd"/>
      <w:r w:rsidRPr="00BE12C6">
        <w:rPr>
          <w:b/>
          <w:iCs/>
        </w:rPr>
        <w:t xml:space="preserve"> wypracowanych przez uczestników panelu o przyszłości programu Erasmus+. W tym gronie było aż 11 Polaków</w:t>
      </w:r>
    </w:p>
    <w:p w14:paraId="5B9B699E" w14:textId="77777777" w:rsidR="002E23AE" w:rsidRPr="00BE12C6" w:rsidRDefault="002E23AE" w:rsidP="002E23AE">
      <w:pPr>
        <w:spacing w:line="360" w:lineRule="auto"/>
        <w:jc w:val="both"/>
      </w:pPr>
      <w:r w:rsidRPr="00BE12C6">
        <w:t>[tekst]</w:t>
      </w:r>
    </w:p>
    <w:p w14:paraId="742FC6E9" w14:textId="77777777" w:rsidR="002E23AE" w:rsidRPr="00BE12C6" w:rsidRDefault="002E23AE" w:rsidP="002E23AE">
      <w:pPr>
        <w:spacing w:line="360" w:lineRule="auto"/>
        <w:jc w:val="both"/>
      </w:pPr>
      <w:r w:rsidRPr="00BE12C6">
        <w:lastRenderedPageBreak/>
        <w:t xml:space="preserve">W III i IV tego roku 150 obywateli Unii Europejskiej z 27 krajów członkowskich dyskutowało o tym, jak powinien się zmieniać program Erasmus+. Dyskutanci zostali wybrani losowo. – Zadzwonili do mnie, zadali kilka pytań dotyczących UE i zaproponowali mi wyjazd do </w:t>
      </w:r>
      <w:proofErr w:type="spellStart"/>
      <w:r w:rsidRPr="00BE12C6">
        <w:t>Brukselli</w:t>
      </w:r>
      <w:proofErr w:type="spellEnd"/>
      <w:r w:rsidRPr="00BE12C6">
        <w:t xml:space="preserve"> – opowiada Łukasz Dąbrowski, 40-latek z Warszawy, senior </w:t>
      </w:r>
      <w:proofErr w:type="spellStart"/>
      <w:r w:rsidRPr="00BE12C6">
        <w:t>brand</w:t>
      </w:r>
      <w:proofErr w:type="spellEnd"/>
      <w:r w:rsidRPr="00BE12C6">
        <w:t xml:space="preserve"> manager w dużej korporacji. – Od razu byłem na tak choć o Erasmusie+ wcześniej słyszałem. Natomiast  możliwość zobaczenia instytucji unijnych od środka wydała mi się bardzo atrakcyjna – dodaje.</w:t>
      </w:r>
    </w:p>
    <w:p w14:paraId="67EEC3CA" w14:textId="77777777" w:rsidR="002E23AE" w:rsidRPr="00BE12C6" w:rsidRDefault="002E23AE" w:rsidP="002E23AE">
      <w:pPr>
        <w:spacing w:line="360" w:lineRule="auto"/>
        <w:jc w:val="both"/>
      </w:pPr>
      <w:r w:rsidRPr="00BE12C6">
        <w:t xml:space="preserve">Komisja Europejska chce, by mieszkańcy UE w większym stopniu decydowali o swojej </w:t>
      </w:r>
      <w:proofErr w:type="spellStart"/>
      <w:r w:rsidRPr="00BE12C6">
        <w:t>przyszłoci</w:t>
      </w:r>
      <w:proofErr w:type="spellEnd"/>
      <w:r w:rsidRPr="00BE12C6">
        <w:t xml:space="preserve">. </w:t>
      </w:r>
      <w:proofErr w:type="spellStart"/>
      <w:r w:rsidRPr="00BE12C6">
        <w:t>Stąt</w:t>
      </w:r>
      <w:proofErr w:type="spellEnd"/>
      <w:r w:rsidRPr="00BE12C6">
        <w:t xml:space="preserve"> pomysł na cykl paneli obywatelskich dotyczący mobilności edukacji. Dwie sesje odbyły się w Brukseli, trzecia – on-line. Uczestnicy różnili się wiekiem, statusem zawodowym i poziomem wykształcenia. Liczba reprezentantów każdego kraju uzależniona była od wielkości. Uczestnicy nie musieli znać angielskiego, bo na miejscu zapewniono im tłum. symultaniczne.</w:t>
      </w:r>
    </w:p>
    <w:p w14:paraId="4DDA12FE" w14:textId="77777777" w:rsidR="002E23AE" w:rsidRPr="00BE12C6" w:rsidRDefault="002E23AE" w:rsidP="002E23AE">
      <w:pPr>
        <w:spacing w:line="360" w:lineRule="auto"/>
        <w:jc w:val="both"/>
      </w:pPr>
      <w:r w:rsidRPr="00BE12C6">
        <w:rPr>
          <w:b/>
          <w:bCs/>
          <w:iCs/>
        </w:rPr>
        <w:t>Dla młodszych i starszych</w:t>
      </w:r>
    </w:p>
    <w:p w14:paraId="421788B8" w14:textId="77777777" w:rsidR="002E23AE" w:rsidRPr="00BE12C6" w:rsidRDefault="002E23AE" w:rsidP="002E23AE">
      <w:pPr>
        <w:spacing w:line="360" w:lineRule="auto"/>
        <w:jc w:val="both"/>
      </w:pPr>
      <w:proofErr w:type="spellStart"/>
      <w:r w:rsidRPr="00BE12C6">
        <w:t>Panelistów</w:t>
      </w:r>
      <w:proofErr w:type="spellEnd"/>
      <w:r w:rsidRPr="00BE12C6">
        <w:t xml:space="preserve"> podzielono na mniejsze grupy, w których dyskutowali nad wybranymi zagadnieniami. Mieli wypracować rekomendacje dla Komisji Europejskiej. – W mojej grupie było 2 Polaków, 3 Czechów, 2 Szwedki, 3 Francuzów i 1 Luksemburczyk –  wylicza Joanna Stachurska-Nycz, 38letnia pedagożka i nauczycielka angielskiego z Warszawy. Podczas dyskusji zaproponowała, aby możliwość wyjazdów na edukacyjne mobilności rozszerzyć o seniorów. – Nie ukrywam, że pomyślałam o sobie, bo za dwadzieścia lat będę seniorką i chciała bym móc wyjechać za granicę, by dalej się rozwijać. Dla emerytów, którzy mają więcej czasu, to doskonały moment w życiu by poznawać ludzi, wymieniać się doświadczeniami i uczyć języka. Powinni wyjeżdżać na indywidualne kursy gotowania czy też warsztaty aktorskie. Uczestniczących mobilności z różnych krajów </w:t>
      </w:r>
      <w:proofErr w:type="spellStart"/>
      <w:r w:rsidRPr="00BE12C6">
        <w:t>możnaby</w:t>
      </w:r>
      <w:proofErr w:type="spellEnd"/>
      <w:r w:rsidRPr="00BE12C6">
        <w:t xml:space="preserve"> dobierać w grupy na podst. podobnych zainteresowań – dodaje. Polka pomyślała też o najmłodszych: – Zaproponowałam krótsze kilkudniowe wyjazdy dla dzieci ze szkół podstawowych by już w tym wieku łapały kontakt z rówieśnikami z innych krajów, poznawały inne kultury i obsłuchiwały się z językiem obcym – tłumaczy.</w:t>
      </w:r>
    </w:p>
    <w:p w14:paraId="1BE4CAA5" w14:textId="77777777" w:rsidR="002E23AE" w:rsidRPr="00BE12C6" w:rsidRDefault="002E23AE" w:rsidP="002E23AE">
      <w:pPr>
        <w:spacing w:line="360" w:lineRule="auto"/>
        <w:jc w:val="both"/>
      </w:pPr>
      <w:r w:rsidRPr="00BE12C6">
        <w:rPr>
          <w:b/>
          <w:bCs/>
          <w:iCs/>
        </w:rPr>
        <w:t>Studia tylko po angielsku</w:t>
      </w:r>
    </w:p>
    <w:p w14:paraId="333EE094" w14:textId="77777777" w:rsidR="002E23AE" w:rsidRPr="00BE12C6" w:rsidRDefault="002E23AE" w:rsidP="002E23AE">
      <w:pPr>
        <w:spacing w:line="360" w:lineRule="auto"/>
        <w:jc w:val="both"/>
      </w:pPr>
      <w:r w:rsidRPr="00BE12C6">
        <w:t xml:space="preserve">Z kolei Łukasz Dąbrowski </w:t>
      </w:r>
      <w:r>
        <w:t>-</w:t>
      </w:r>
      <w:r w:rsidRPr="00BE12C6">
        <w:t xml:space="preserve"> obradujący w grupie złożonej z Polaków, Włochów, Holendrów i </w:t>
      </w:r>
      <w:proofErr w:type="spellStart"/>
      <w:r w:rsidRPr="00BE12C6">
        <w:t>cypryjczyków</w:t>
      </w:r>
      <w:proofErr w:type="spellEnd"/>
      <w:r w:rsidRPr="00BE12C6">
        <w:t xml:space="preserve"> – zaproponował, by każda uczelnia przyjmująca </w:t>
      </w:r>
      <w:proofErr w:type="spellStart"/>
      <w:r w:rsidRPr="00BE12C6">
        <w:t>erasmusowiczów</w:t>
      </w:r>
      <w:proofErr w:type="spellEnd"/>
      <w:r w:rsidRPr="00BE12C6">
        <w:t xml:space="preserve"> zapewniła im możliwość studiowania po angielsku. – To powinien być </w:t>
      </w:r>
      <w:proofErr w:type="spellStart"/>
      <w:r w:rsidRPr="00BE12C6">
        <w:t>standart</w:t>
      </w:r>
      <w:proofErr w:type="spellEnd"/>
      <w:r w:rsidRPr="00BE12C6">
        <w:t xml:space="preserve">, bo to najbardziej uniwersalny język – podkreśla. – Podczas paneli w Brukseli wiele osób wspominało, że np. nieznajomość Portugalskiego powoduje, że wielu studentów rezygnuje z kształcenia w tym pięknym kraju. Ja w 2005 decydując się na między narodową wymianę wybrałem amerykańską uczelnię, a nie Europejską, ponieważ na naszym kontynencie w niewielu miejscach mogłem studiować po angielsku – tłumaczy. I również tak jak i Joanna </w:t>
      </w:r>
      <w:r w:rsidRPr="00BE12C6">
        <w:lastRenderedPageBreak/>
        <w:t xml:space="preserve">Stachurska Nycz postuluje rozszerzenie grupy, która ma możliwość korzystania z indywidualnych edukacyjnych mobilności. – Jestem dorosły, pracuję 5 dni w tygodniu po 8 godzin, więc nie mogę zapisać się na kilkuletnie studia, które pozwoliły by mi wyjechać na pół roku zagranicę. A chciałbym pojechać na przykład na kurs. Teraz musiałbym szukać jakiejś organizacji, która realizuje projekt z </w:t>
      </w:r>
      <w:proofErr w:type="spellStart"/>
      <w:r w:rsidRPr="00BE12C6">
        <w:t>erasmusa</w:t>
      </w:r>
      <w:proofErr w:type="spellEnd"/>
      <w:r w:rsidRPr="00BE12C6">
        <w:t xml:space="preserve">, a to już jest dla mnie przeszkodą – przekonuje. Mówi też o likwidacji barier administracyjnych kolejnym postulacie, który znalazł się wśród 21 wypracowanych  rekomendacji. – To bliski mi wątek, bo gdybym np. pojechał na kilka miesięcy kształcić się we Francji, a jednocześnie dalej chciał pracować we obecnej firmie, to byłby kłopot dla mojego szefa. Bo jak on ma rozliczać moją zdalną pracę wykonywaną w innym kraju. W unii mamy 27 krajów i 27 różnych Kodeksów Pracy, Systemów Podatkowych i Zabezpieczeń Społecznych. To generuje problemy. Skoro przedsiębiorca nie wie, jak rozwiązać te administracyjne bariery, musi radzić się prawników i księgowych, a to dla jego dodatkowy koszt, który może zniechęcać do zgody na taki wyjazd. Zasugerowaliśmy więc, by spytać przedsiębiorców we wszystkich państw członkowskich, jakie widzą ograniczenia, a później punkt po punkcie próbować je przezwyciężać </w:t>
      </w:r>
      <w:r>
        <w:t>-</w:t>
      </w:r>
      <w:r w:rsidRPr="00BE12C6">
        <w:t xml:space="preserve"> mówi Łukasz.</w:t>
      </w:r>
    </w:p>
    <w:p w14:paraId="0E3A4FEE" w14:textId="77777777" w:rsidR="002E23AE" w:rsidRPr="00BE12C6" w:rsidRDefault="002E23AE" w:rsidP="002E23AE">
      <w:pPr>
        <w:spacing w:line="360" w:lineRule="auto"/>
        <w:jc w:val="both"/>
      </w:pPr>
      <w:r w:rsidRPr="00BE12C6">
        <w:t>Uczestnicy wspominali też, że warto by było zorganizować szeroką kampanię informacyjną dotyczącą mobilności edukacyjnych i pokazać, że warto korzystać z programu Erasmus+.</w:t>
      </w:r>
    </w:p>
    <w:p w14:paraId="41DC1782" w14:textId="77777777" w:rsidR="0029405B" w:rsidRPr="006346DB" w:rsidRDefault="0029405B" w:rsidP="002E23AE">
      <w:pPr>
        <w:tabs>
          <w:tab w:val="left" w:pos="1027"/>
        </w:tabs>
        <w:jc w:val="center"/>
        <w:rPr>
          <w:rFonts w:cstheme="minorHAnsi"/>
        </w:rPr>
      </w:pPr>
    </w:p>
    <w:sectPr w:rsidR="0029405B" w:rsidRPr="006346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  <w:footnote w:id="1">
    <w:p w14:paraId="6E191FD8" w14:textId="77777777" w:rsidR="002E23AE" w:rsidRPr="00FD3A5E" w:rsidRDefault="002E23AE" w:rsidP="002E23A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A5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3A5E">
        <w:rPr>
          <w:rFonts w:ascii="Times New Roman" w:hAnsi="Times New Roman"/>
          <w:sz w:val="18"/>
          <w:szCs w:val="18"/>
        </w:rPr>
        <w:t xml:space="preserve"> Niektóre szacunki mówią nawet o liczbie 4-6 mln analfabetów zamieszkających powojenną Polskę, choć bliższa prawdy wydaje się dolna granica przywołanego przedziału.</w:t>
      </w:r>
    </w:p>
  </w:footnote>
  <w:footnote w:id="2">
    <w:p w14:paraId="54E79F1F" w14:textId="77777777" w:rsidR="002E23AE" w:rsidRPr="00FD3A5E" w:rsidRDefault="002E23AE" w:rsidP="002E23AE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3A5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3A5E">
        <w:rPr>
          <w:rFonts w:ascii="Times New Roman" w:hAnsi="Times New Roman"/>
          <w:sz w:val="18"/>
          <w:szCs w:val="18"/>
        </w:rPr>
        <w:t xml:space="preserve"> Organizowane formy kształcenia, zarówno w placówkach edukacyjnych, jak i </w:t>
      </w:r>
      <w:proofErr w:type="spellStart"/>
      <w:r w:rsidRPr="00FD3A5E">
        <w:rPr>
          <w:rFonts w:ascii="Times New Roman" w:hAnsi="Times New Roman"/>
          <w:sz w:val="18"/>
          <w:szCs w:val="18"/>
        </w:rPr>
        <w:t>pozaformalnych</w:t>
      </w:r>
      <w:proofErr w:type="spellEnd"/>
      <w:r w:rsidRPr="00FD3A5E">
        <w:rPr>
          <w:rFonts w:ascii="Times New Roman" w:hAnsi="Times New Roman"/>
          <w:sz w:val="18"/>
          <w:szCs w:val="18"/>
        </w:rPr>
        <w:t>, państwo wykorzystywało do politycznej agitki za nowym ustrojem.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70FE"/>
    <w:multiLevelType w:val="multilevel"/>
    <w:tmpl w:val="279C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250">
    <w:abstractNumId w:val="2"/>
  </w:num>
  <w:num w:numId="2" w16cid:durableId="356738194">
    <w:abstractNumId w:val="7"/>
  </w:num>
  <w:num w:numId="3" w16cid:durableId="1129399361">
    <w:abstractNumId w:val="5"/>
  </w:num>
  <w:num w:numId="4" w16cid:durableId="197864261">
    <w:abstractNumId w:val="4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6"/>
  </w:num>
  <w:num w:numId="8" w16cid:durableId="392848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97C44"/>
    <w:rsid w:val="002E23AE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C1238"/>
    <w:rsid w:val="004D3157"/>
    <w:rsid w:val="005249C8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30F75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87B6A"/>
    <w:rsid w:val="00E911D9"/>
    <w:rsid w:val="00EA4A02"/>
    <w:rsid w:val="00F000C5"/>
    <w:rsid w:val="00F5487F"/>
    <w:rsid w:val="00F65E7F"/>
    <w:rsid w:val="00F7122F"/>
    <w:rsid w:val="00F93EE6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23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23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2E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3A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3AE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3AE"/>
    <w:rPr>
      <w:vertAlign w:val="superscript"/>
    </w:rPr>
  </w:style>
  <w:style w:type="table" w:styleId="Tabela-Siatka">
    <w:name w:val="Table Grid"/>
    <w:basedOn w:val="Standardowy"/>
    <w:uiPriority w:val="39"/>
    <w:rsid w:val="002E23AE"/>
    <w:pPr>
      <w:spacing w:after="0" w:line="240" w:lineRule="auto"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3</cp:revision>
  <cp:lastPrinted>2022-06-27T07:02:00Z</cp:lastPrinted>
  <dcterms:created xsi:type="dcterms:W3CDTF">2023-06-22T08:16:00Z</dcterms:created>
  <dcterms:modified xsi:type="dcterms:W3CDTF">2023-06-22T10:26:00Z</dcterms:modified>
</cp:coreProperties>
</file>