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3B2C24FF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114BC3" w:rsidRPr="00E54121">
        <w:rPr>
          <w:rFonts w:ascii="Georgia" w:hAnsi="Georgia"/>
          <w:b/>
          <w:szCs w:val="22"/>
        </w:rPr>
        <w:t xml:space="preserve">dostawa materiałów i sprzętu niezbędnych do przeprowadzenia konkurencji </w:t>
      </w:r>
      <w:proofErr w:type="spellStart"/>
      <w:r w:rsidR="00114BC3" w:rsidRPr="00E54121">
        <w:rPr>
          <w:rFonts w:ascii="Georgia" w:hAnsi="Georgia"/>
          <w:b/>
          <w:szCs w:val="22"/>
        </w:rPr>
        <w:t>Plastering</w:t>
      </w:r>
      <w:proofErr w:type="spellEnd"/>
      <w:r w:rsidR="00114BC3" w:rsidRPr="00E54121">
        <w:rPr>
          <w:rFonts w:ascii="Georgia" w:hAnsi="Georgia"/>
          <w:b/>
          <w:szCs w:val="22"/>
        </w:rPr>
        <w:t xml:space="preserve"> and </w:t>
      </w:r>
      <w:proofErr w:type="spellStart"/>
      <w:r w:rsidR="00114BC3" w:rsidRPr="00E54121">
        <w:rPr>
          <w:rFonts w:ascii="Georgia" w:hAnsi="Georgia"/>
          <w:b/>
          <w:szCs w:val="22"/>
        </w:rPr>
        <w:t>dry</w:t>
      </w:r>
      <w:proofErr w:type="spellEnd"/>
      <w:r w:rsidR="00114BC3" w:rsidRPr="00E54121">
        <w:rPr>
          <w:rFonts w:ascii="Georgia" w:hAnsi="Georgia"/>
          <w:b/>
          <w:szCs w:val="22"/>
        </w:rPr>
        <w:t xml:space="preserve"> </w:t>
      </w:r>
      <w:proofErr w:type="spellStart"/>
      <w:r w:rsidR="00114BC3" w:rsidRPr="00E54121">
        <w:rPr>
          <w:rFonts w:ascii="Georgia" w:hAnsi="Georgia"/>
          <w:b/>
          <w:szCs w:val="22"/>
        </w:rPr>
        <w:t>wall</w:t>
      </w:r>
      <w:proofErr w:type="spellEnd"/>
      <w:r w:rsidR="00114BC3" w:rsidRPr="00E54121">
        <w:rPr>
          <w:rFonts w:ascii="Georgia" w:hAnsi="Georgia"/>
          <w:b/>
          <w:szCs w:val="22"/>
        </w:rPr>
        <w:t xml:space="preserve"> </w:t>
      </w:r>
      <w:proofErr w:type="spellStart"/>
      <w:r w:rsidR="00114BC3" w:rsidRPr="00E54121">
        <w:rPr>
          <w:rFonts w:ascii="Georgia" w:hAnsi="Georgia"/>
          <w:b/>
          <w:szCs w:val="22"/>
        </w:rPr>
        <w:t>systems</w:t>
      </w:r>
      <w:proofErr w:type="spellEnd"/>
      <w:r w:rsidR="00114BC3" w:rsidRPr="00E54121">
        <w:rPr>
          <w:rFonts w:ascii="Georgia" w:hAnsi="Georgia"/>
          <w:b/>
          <w:szCs w:val="22"/>
        </w:rPr>
        <w:t xml:space="preserve"> (tynkarstwo i sucha zabudowa) realizowanej podczas wydarzenia </w:t>
      </w:r>
      <w:proofErr w:type="spellStart"/>
      <w:r w:rsidR="00114BC3" w:rsidRPr="00E54121">
        <w:rPr>
          <w:rFonts w:ascii="Georgia" w:hAnsi="Georgia"/>
          <w:b/>
          <w:szCs w:val="22"/>
        </w:rPr>
        <w:t>EuroSkills</w:t>
      </w:r>
      <w:proofErr w:type="spellEnd"/>
      <w:r w:rsidR="00114BC3" w:rsidRPr="00E54121">
        <w:rPr>
          <w:rFonts w:ascii="Georgia" w:hAnsi="Georgia"/>
          <w:b/>
          <w:szCs w:val="22"/>
        </w:rPr>
        <w:t xml:space="preserve"> 2023 Gdańsk </w:t>
      </w:r>
      <w:r w:rsidR="006375D7" w:rsidRPr="00E54121">
        <w:rPr>
          <w:rFonts w:ascii="Georgia" w:hAnsi="Georgia"/>
          <w:szCs w:val="22"/>
        </w:rPr>
        <w:t>zgodnych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 xml:space="preserve">Opisem Przedmiotu Zamówienia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7AF0B226" w14:textId="6CCCD49F" w:rsidR="002917CA" w:rsidRPr="00E54121" w:rsidRDefault="002917CA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została zawarta na okres </w:t>
      </w:r>
      <w:r w:rsidR="00F50770" w:rsidRPr="00E54121">
        <w:rPr>
          <w:rFonts w:ascii="Georgia" w:hAnsi="Georgia"/>
          <w:szCs w:val="22"/>
        </w:rPr>
        <w:t xml:space="preserve">od dnia podpisania </w:t>
      </w:r>
      <w:r w:rsidR="00840109" w:rsidRPr="00E54121">
        <w:rPr>
          <w:rFonts w:ascii="Georgia" w:hAnsi="Georgia"/>
          <w:b/>
          <w:szCs w:val="22"/>
        </w:rPr>
        <w:t xml:space="preserve">do dnia 31 </w:t>
      </w:r>
      <w:r w:rsidR="00F50770" w:rsidRPr="00E54121">
        <w:rPr>
          <w:rFonts w:ascii="Georgia" w:hAnsi="Georgia"/>
          <w:b/>
          <w:szCs w:val="22"/>
        </w:rPr>
        <w:t>sierpnia</w:t>
      </w:r>
      <w:r w:rsidR="00840109" w:rsidRPr="00E54121">
        <w:rPr>
          <w:rFonts w:ascii="Georgia" w:hAnsi="Georgia"/>
          <w:b/>
          <w:szCs w:val="22"/>
        </w:rPr>
        <w:t xml:space="preserve"> 20</w:t>
      </w:r>
      <w:r w:rsidR="004226EB" w:rsidRPr="00E54121">
        <w:rPr>
          <w:rFonts w:ascii="Georgia" w:hAnsi="Georgia"/>
          <w:b/>
          <w:szCs w:val="22"/>
        </w:rPr>
        <w:t>2</w:t>
      </w:r>
      <w:r w:rsidR="00CB3C2C" w:rsidRPr="00E54121">
        <w:rPr>
          <w:rFonts w:ascii="Georgia" w:hAnsi="Georgia"/>
          <w:b/>
          <w:szCs w:val="22"/>
        </w:rPr>
        <w:t>3</w:t>
      </w:r>
      <w:r w:rsidR="002F35DF" w:rsidRPr="00E54121">
        <w:rPr>
          <w:rFonts w:ascii="Georgia" w:hAnsi="Georgia"/>
          <w:b/>
          <w:szCs w:val="22"/>
        </w:rPr>
        <w:t xml:space="preserve"> </w:t>
      </w:r>
      <w:r w:rsidR="00840109" w:rsidRPr="00E54121">
        <w:rPr>
          <w:rFonts w:ascii="Georgia" w:hAnsi="Georgia"/>
          <w:b/>
          <w:szCs w:val="22"/>
        </w:rPr>
        <w:t>r.</w:t>
      </w:r>
      <w:r w:rsidRPr="00E54121">
        <w:rPr>
          <w:rFonts w:ascii="Georgia" w:hAnsi="Georgia"/>
          <w:szCs w:val="22"/>
        </w:rPr>
        <w:t xml:space="preserve">  </w:t>
      </w:r>
    </w:p>
    <w:p w14:paraId="37E0589D" w14:textId="1731D393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</w:t>
      </w:r>
      <w:proofErr w:type="spellStart"/>
      <w:r w:rsidR="004C48EA" w:rsidRPr="00E54121">
        <w:rPr>
          <w:rFonts w:ascii="Georgia" w:hAnsi="Georgia"/>
          <w:szCs w:val="22"/>
        </w:rPr>
        <w:t>zmiejszenia</w:t>
      </w:r>
      <w:proofErr w:type="spellEnd"/>
      <w:r w:rsidRPr="00E54121">
        <w:rPr>
          <w:rFonts w:ascii="Georgia" w:hAnsi="Georgia"/>
          <w:szCs w:val="22"/>
        </w:rPr>
        <w:t xml:space="preserve"> zamówienia względem szacowanych nakładów.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CD52B10" w14:textId="6A0C44E9" w:rsidR="00543EBF" w:rsidRPr="00E54121" w:rsidRDefault="00543EBF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>W przypadku, gdy dany produkt został wycofany z produkcji lub dystrybucji, Wykonawca po wykazaniu tego faktu</w:t>
      </w:r>
      <w:r w:rsidR="0018665F" w:rsidRPr="00E54121">
        <w:rPr>
          <w:rFonts w:ascii="Georgia" w:hAnsi="Georgia"/>
          <w:szCs w:val="22"/>
        </w:rPr>
        <w:t>, po otrzymaniu uprzedniej zgody</w:t>
      </w:r>
      <w:r w:rsidRPr="00E54121">
        <w:rPr>
          <w:rFonts w:ascii="Georgia" w:hAnsi="Georgia"/>
          <w:szCs w:val="22"/>
        </w:rPr>
        <w:t xml:space="preserve"> Zamawiającego może dostarczyć </w:t>
      </w:r>
      <w:r w:rsidR="0018665F" w:rsidRPr="00E54121">
        <w:rPr>
          <w:rFonts w:ascii="Georgia" w:hAnsi="Georgia"/>
          <w:szCs w:val="22"/>
        </w:rPr>
        <w:t>inne materiały lub sprzęty</w:t>
      </w:r>
      <w:r w:rsidRPr="00E54121">
        <w:rPr>
          <w:rFonts w:ascii="Georgia" w:hAnsi="Georgia"/>
          <w:szCs w:val="22"/>
        </w:rPr>
        <w:t xml:space="preserve">.  </w:t>
      </w:r>
      <w:r w:rsidR="0018665F" w:rsidRPr="00E54121">
        <w:rPr>
          <w:rFonts w:ascii="Georgia" w:hAnsi="Georgia"/>
          <w:szCs w:val="22"/>
        </w:rPr>
        <w:t xml:space="preserve">Zamawiający zastrzega, że zmiana materiałów lub </w:t>
      </w:r>
      <w:proofErr w:type="spellStart"/>
      <w:r w:rsidR="0018665F" w:rsidRPr="00E54121">
        <w:rPr>
          <w:rFonts w:ascii="Georgia" w:hAnsi="Georgia"/>
          <w:szCs w:val="22"/>
        </w:rPr>
        <w:t>sprzetów</w:t>
      </w:r>
      <w:proofErr w:type="spellEnd"/>
      <w:r w:rsidR="0018665F" w:rsidRPr="00E54121">
        <w:rPr>
          <w:rFonts w:ascii="Georgia" w:hAnsi="Georgia"/>
          <w:szCs w:val="22"/>
        </w:rPr>
        <w:t xml:space="preserve"> nie może wziąć się ze wzrostem ceny materiału lub urządzenia. </w:t>
      </w:r>
    </w:p>
    <w:p w14:paraId="3A87B046" w14:textId="73BC824C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 xml:space="preserve">Wykonawca gwarantuje, że dostarczone </w:t>
      </w:r>
      <w:r w:rsidR="0018665F" w:rsidRPr="00E54121">
        <w:rPr>
          <w:rFonts w:ascii="Georgia" w:hAnsi="Georgia"/>
          <w:szCs w:val="22"/>
        </w:rPr>
        <w:t xml:space="preserve">materiały i sprzęty </w:t>
      </w:r>
      <w:r w:rsidRPr="00E54121">
        <w:rPr>
          <w:rFonts w:ascii="Georgia" w:hAnsi="Georgia"/>
          <w:szCs w:val="22"/>
        </w:rPr>
        <w:t>są fabrycznie nowe i wolne od wad i że mogą być użytkowany zgodnie z przeznaczeniem.</w:t>
      </w:r>
      <w:r w:rsidRPr="00E54121">
        <w:rPr>
          <w:rFonts w:ascii="Georgia" w:hAnsi="Georgia"/>
          <w:color w:val="000000"/>
          <w:szCs w:val="22"/>
        </w:rPr>
        <w:t xml:space="preserve">  </w:t>
      </w:r>
    </w:p>
    <w:p w14:paraId="58E1E7F1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D8BEE4D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1BC15A36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 xml:space="preserve">Formularzu </w:t>
      </w:r>
      <w:r w:rsidR="00875ADD" w:rsidRPr="00E54121">
        <w:rPr>
          <w:rFonts w:ascii="Georgia" w:hAnsi="Georgia"/>
          <w:b/>
          <w:bCs/>
          <w:sz w:val="22"/>
          <w:szCs w:val="22"/>
        </w:rPr>
        <w:t xml:space="preserve">Oferty </w:t>
      </w:r>
      <w:r w:rsidR="00526714" w:rsidRPr="00E54121">
        <w:rPr>
          <w:rFonts w:ascii="Georgia" w:hAnsi="Georgia"/>
          <w:b/>
          <w:bCs/>
          <w:sz w:val="22"/>
          <w:szCs w:val="22"/>
        </w:rPr>
        <w:t xml:space="preserve">(formularzu cenowym)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77777777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>podatek VAT naliczony zgodnie z przepisami obowiązującymi w dniu sprze</w:t>
      </w:r>
      <w:r w:rsidR="00494180" w:rsidRPr="00E54121">
        <w:rPr>
          <w:rFonts w:ascii="Georgia" w:hAnsi="Georgia"/>
          <w:sz w:val="22"/>
          <w:szCs w:val="22"/>
        </w:rPr>
        <w:t xml:space="preserve">daży 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3849C289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E54121">
        <w:rPr>
          <w:rFonts w:ascii="Georgia" w:hAnsi="Georgia"/>
          <w:b/>
          <w:bCs/>
          <w:sz w:val="22"/>
          <w:szCs w:val="22"/>
        </w:rPr>
        <w:t>wad ilościowych</w:t>
      </w:r>
      <w:r w:rsidRPr="00E54121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E54121">
        <w:rPr>
          <w:rFonts w:ascii="Georgia" w:hAnsi="Georgia"/>
          <w:bCs/>
          <w:sz w:val="22"/>
          <w:szCs w:val="22"/>
        </w:rPr>
        <w:t xml:space="preserve"> Zamawiający w terminie [x] potwierdzi, że materiały i sprzęt są zgodnie z OPZ poprzez podpisanie protokołu odbioru.</w:t>
      </w:r>
      <w:r w:rsidR="00413B17" w:rsidRPr="00E54121">
        <w:rPr>
          <w:rFonts w:ascii="Georgia" w:hAnsi="Georgia"/>
          <w:bCs/>
          <w:sz w:val="22"/>
          <w:szCs w:val="22"/>
        </w:rPr>
        <w:t xml:space="preserve"> W przypadku, gdy materiały i sprzęt nie odpowiadają wymogom Opisu Przedmiotu Zamówienia, Zamawiający wskaże materiały i sprzęt, które zostały uznane za niezgodne i wyznaczy Wykonawcy dodatkowy termin na usunięcie wad jakościowych, jednak nie dłuższy niż [x].</w:t>
      </w:r>
    </w:p>
    <w:p w14:paraId="487A4154" w14:textId="77777777" w:rsidR="0018665F" w:rsidRPr="00E54121" w:rsidRDefault="0018665F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Wszystkie materiały i sprzęt muszą zostać dostarczone w terminie ….. sierpnia 2023 roku na </w:t>
      </w:r>
      <w:r w:rsidRPr="00E54121">
        <w:rPr>
          <w:rFonts w:ascii="Georgia" w:hAnsi="Georgia"/>
          <w:bCs/>
          <w:sz w:val="22"/>
          <w:szCs w:val="22"/>
        </w:rPr>
        <w:t>teren Międzynarodowych Targów Gdańskich Spółki Akcyjnej (ul. Żaglowa 11, 80-560 Gdańsk) lub do magazynu ul. Nabrzeżnej – hala stoczniowa 33 na terenie Stoczni Gdańskiej (lokalizacja: 54.36489439947489, 18.662070184149446) lub inne wskazane w Gdańsku miejsce.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0D60CDB6" w:rsidR="0018665F" w:rsidRPr="00E54121" w:rsidRDefault="00751817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Wartość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może przekroczyć kwoty </w:t>
      </w:r>
      <w:r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Pr="00E54121">
        <w:rPr>
          <w:rFonts w:ascii="Georgia" w:hAnsi="Georgia"/>
          <w:sz w:val="22"/>
          <w:szCs w:val="22"/>
        </w:rPr>
        <w:t>(słownie; …….. 00/100).</w:t>
      </w:r>
    </w:p>
    <w:p w14:paraId="3D237296" w14:textId="1FAD2152" w:rsidR="0018665F" w:rsidRPr="00E54121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lastRenderedPageBreak/>
        <w:t xml:space="preserve">Wynagrodzenie Wykonawcy zostanie wypłacone po należytym wykonaniu przedmiotu Umowy, co zostanie potwierdzone protokołem odbioru podpisanym przez Zamawiającego. Wynagrodzenie Wykonawcy zostanie obliczone w oparciu o Formularz Ofertowy, jako iloczyn liczby poszczególnych materiałów i sprzętu i stawek określonych w Formularzu ofertowym. </w:t>
      </w:r>
    </w:p>
    <w:p w14:paraId="65F3B894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0BF3A989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E54121" w:rsidRPr="00E54121">
        <w:rPr>
          <w:rFonts w:ascii="Georgia" w:hAnsi="Georgia"/>
          <w:sz w:val="22"/>
          <w:szCs w:val="22"/>
        </w:rPr>
        <w:t>90</w:t>
      </w:r>
      <w:r w:rsidRPr="00E54121">
        <w:rPr>
          <w:rFonts w:ascii="Georgia" w:hAnsi="Georgia"/>
          <w:sz w:val="22"/>
          <w:szCs w:val="22"/>
        </w:rPr>
        <w:t>%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6A6A405A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opóźnienia w wykonaniu Umowy, względem terminów określonych w harmonogramie zawartym w OPZ, w wysokości 1% wartości Umowy brutto, określonej w § 3 ust. 1 Umowy za każdą godzinę opóźnienia w rozpoczęciu poszczególnych czynności składających się na przedmiot Umowy.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0E7F7D4F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dostarczeniu materiałów i sprzętu nieodpowiadającego wymogom Opisu Przedmiotu Zamówienia;</w:t>
      </w:r>
    </w:p>
    <w:p w14:paraId="45F4ECC9" w14:textId="35FF7202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25A985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14:paraId="6459CD18" w14:textId="4563860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prac 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zakresu prac objętych przedmiotem zamówienia; </w:t>
      </w:r>
    </w:p>
    <w:p w14:paraId="641E0422" w14:textId="734AD0D5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>w strukturze lub  organizacji Zamawiającego mających wpływ na zakres prac 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58C041F3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62AEFD96" w14:textId="77777777" w:rsidR="00260E37" w:rsidRPr="00E54121" w:rsidRDefault="00260E37" w:rsidP="00E54121">
      <w:pPr>
        <w:numPr>
          <w:ilvl w:val="0"/>
          <w:numId w:val="19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opis zmiany, </w:t>
      </w:r>
    </w:p>
    <w:p w14:paraId="6E435C6D" w14:textId="77777777" w:rsidR="00260E37" w:rsidRPr="00E54121" w:rsidRDefault="00260E37" w:rsidP="00E54121">
      <w:pPr>
        <w:numPr>
          <w:ilvl w:val="0"/>
          <w:numId w:val="19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uzasadnienie zmiany, </w:t>
      </w:r>
    </w:p>
    <w:p w14:paraId="293DA1E2" w14:textId="77777777" w:rsidR="00260E37" w:rsidRPr="00E54121" w:rsidRDefault="00260E37" w:rsidP="00E54121">
      <w:pPr>
        <w:numPr>
          <w:ilvl w:val="0"/>
          <w:numId w:val="19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koszt zmiany oraz jego wpływ na wysokość wynagrodzenia, </w:t>
      </w:r>
    </w:p>
    <w:p w14:paraId="3C781E50" w14:textId="0663BFD5" w:rsidR="00260E37" w:rsidRPr="00E54121" w:rsidRDefault="00260E37" w:rsidP="00E54121">
      <w:pPr>
        <w:numPr>
          <w:ilvl w:val="0"/>
          <w:numId w:val="19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czas wykonania zmiany oraz wpływ zmiany na termin zakończenia 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>U</w:t>
      </w:r>
      <w:r w:rsidRPr="00E54121">
        <w:rPr>
          <w:rFonts w:ascii="Georgia" w:hAnsi="Georgia"/>
          <w:bCs/>
          <w:sz w:val="22"/>
          <w:szCs w:val="22"/>
          <w:lang w:eastAsia="ar-SA"/>
        </w:rPr>
        <w:t>mowy.</w:t>
      </w:r>
    </w:p>
    <w:p w14:paraId="672FBA47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E54121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E5412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 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57E3F01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5E7DEBE2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FCF14EB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666250B6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64BF520C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ABB80D6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64A497E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AF21FA6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5B4D19D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4DA314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1A04D7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3DC80F84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3F081385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33E1A39E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724EB71E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50D3E81E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6C7CA83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54EB767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37DEA77C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73CC1B4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784088AD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5EC8531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628E8D5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A790BCC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0C6517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533069EB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35C49D9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0689B0E0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6B5326D6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7005D90C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7"/>
      <w:footerReference w:type="even" r:id="rId8"/>
      <w:footerReference w:type="default" r:id="rId9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8EA" w14:textId="77777777" w:rsidR="00861BC3" w:rsidRDefault="00861BC3">
      <w:r>
        <w:separator/>
      </w:r>
    </w:p>
  </w:endnote>
  <w:endnote w:type="continuationSeparator" w:id="0">
    <w:p w14:paraId="01EA643A" w14:textId="77777777" w:rsidR="00861BC3" w:rsidRDefault="0086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21684452" w:rsidR="00CF3C9A" w:rsidRDefault="006A43E6">
    <w:pPr>
      <w:pStyle w:val="Stopka"/>
      <w:ind w:right="360"/>
    </w:pPr>
    <w:r w:rsidRPr="006A43E6">
      <w:rPr>
        <w:rFonts w:eastAsia="SimSun" w:cs="Mangal"/>
        <w:noProof/>
        <w:kern w:val="1"/>
        <w:sz w:val="24"/>
        <w:szCs w:val="24"/>
        <w:lang w:eastAsia="hi-IN" w:bidi="hi-IN"/>
      </w:rPr>
      <w:drawing>
        <wp:anchor distT="0" distB="0" distL="114300" distR="114300" simplePos="0" relativeHeight="251659264" behindDoc="0" locked="0" layoutInCell="1" allowOverlap="1" wp14:anchorId="3811B8E9" wp14:editId="4F7BD0FC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96000" cy="1074420"/>
          <wp:effectExtent l="0" t="0" r="0" b="0"/>
          <wp:wrapSquare wrapText="bothSides"/>
          <wp:docPr id="1990247044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47044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8295" w14:textId="77777777" w:rsidR="00861BC3" w:rsidRDefault="00861BC3">
      <w:r>
        <w:separator/>
      </w:r>
    </w:p>
  </w:footnote>
  <w:footnote w:type="continuationSeparator" w:id="0">
    <w:p w14:paraId="1F7A0347" w14:textId="77777777" w:rsidR="00861BC3" w:rsidRDefault="0086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77777777" w:rsidR="0011067A" w:rsidRDefault="0011067A">
    <w:pPr>
      <w:pStyle w:val="Nagwek"/>
    </w:pPr>
    <w:r>
      <w:tab/>
    </w:r>
    <w:r>
      <w:tab/>
    </w:r>
  </w:p>
  <w:p w14:paraId="00309A2D" w14:textId="77777777" w:rsidR="00CF3C9A" w:rsidRPr="003B3BA9" w:rsidRDefault="007948CA">
    <w:pPr>
      <w:pStyle w:val="Nagwek"/>
      <w:jc w:val="right"/>
      <w:rPr>
        <w:sz w:val="22"/>
        <w:szCs w:val="22"/>
      </w:rPr>
    </w:pPr>
    <w:r w:rsidRPr="003B3BA9">
      <w:rPr>
        <w:sz w:val="22"/>
        <w:szCs w:val="22"/>
      </w:rPr>
      <w:t>Załącznik nr 2 do zapytania ofertowego</w:t>
    </w:r>
  </w:p>
  <w:p w14:paraId="639759C8" w14:textId="77777777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52DA"/>
    <w:rsid w:val="00163181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D028C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E70"/>
    <w:rsid w:val="00BE3787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1949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14582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Katarzyna Sobejko</cp:lastModifiedBy>
  <cp:revision>3</cp:revision>
  <cp:lastPrinted>2015-07-30T07:56:00Z</cp:lastPrinted>
  <dcterms:created xsi:type="dcterms:W3CDTF">2023-05-24T15:00:00Z</dcterms:created>
  <dcterms:modified xsi:type="dcterms:W3CDTF">2023-05-24T15:06:00Z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