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903EC" w14:textId="77777777" w:rsidR="0084688B" w:rsidRPr="0084688B" w:rsidRDefault="0084688B" w:rsidP="0084688B">
      <w:pPr>
        <w:pStyle w:val="Akapitzlist"/>
        <w:numPr>
          <w:ilvl w:val="0"/>
          <w:numId w:val="2"/>
        </w:numPr>
        <w:rPr>
          <w:lang w:val="en-GB"/>
        </w:rPr>
      </w:pPr>
      <w:r w:rsidRPr="0084688B">
        <w:rPr>
          <w:sz w:val="24"/>
          <w:szCs w:val="24"/>
          <w:lang w:val="en-GB"/>
        </w:rPr>
        <w:t xml:space="preserve">The grant will take the form of one single fixed amount (single lump sum), covering all costs of eligible activities linked to the implementation of the </w:t>
      </w:r>
      <w:proofErr w:type="gramStart"/>
      <w:r w:rsidRPr="0084688B">
        <w:rPr>
          <w:sz w:val="24"/>
          <w:szCs w:val="24"/>
          <w:lang w:val="en-GB"/>
        </w:rPr>
        <w:t>project;</w:t>
      </w:r>
      <w:proofErr w:type="gramEnd"/>
    </w:p>
    <w:p w14:paraId="1C5864AF" w14:textId="77777777" w:rsidR="0084688B" w:rsidRPr="0084688B" w:rsidRDefault="0084688B" w:rsidP="0084688B">
      <w:pPr>
        <w:pStyle w:val="Akapitzlist"/>
        <w:numPr>
          <w:ilvl w:val="0"/>
          <w:numId w:val="2"/>
        </w:numPr>
        <w:rPr>
          <w:sz w:val="24"/>
          <w:szCs w:val="24"/>
          <w:lang w:val="en-GB"/>
        </w:rPr>
      </w:pPr>
      <w:r w:rsidRPr="0084688B">
        <w:rPr>
          <w:sz w:val="24"/>
          <w:szCs w:val="24"/>
          <w:lang w:val="en-GB"/>
        </w:rPr>
        <w:t>The Erasmus+ Programme Guide sets different single lump sums amounts (see section 3.2) to cover different types of partnerships with different levels of complexity in terms of administrative and reporting requirements.</w:t>
      </w:r>
    </w:p>
    <w:p w14:paraId="061B4001" w14:textId="77777777" w:rsidR="0084688B" w:rsidRPr="0084688B" w:rsidRDefault="0084688B" w:rsidP="0084688B">
      <w:pPr>
        <w:pStyle w:val="Akapitzlist"/>
        <w:numPr>
          <w:ilvl w:val="0"/>
          <w:numId w:val="2"/>
        </w:numPr>
        <w:rPr>
          <w:lang w:val="en-GB"/>
        </w:rPr>
      </w:pPr>
      <w:r w:rsidRPr="0084688B">
        <w:rPr>
          <w:sz w:val="24"/>
          <w:szCs w:val="24"/>
          <w:lang w:val="en-GB"/>
        </w:rPr>
        <w:t>The type of Partnership (Small-scale Partnerships or Cooperation Partnerships) and the corresponding single lump sum amount chosen by the applicant will determine:</w:t>
      </w:r>
    </w:p>
    <w:p w14:paraId="5E732334" w14:textId="77777777" w:rsidR="0084688B" w:rsidRPr="0084688B" w:rsidRDefault="0084688B" w:rsidP="0084688B">
      <w:pPr>
        <w:pStyle w:val="Akapitzlist"/>
        <w:numPr>
          <w:ilvl w:val="1"/>
          <w:numId w:val="2"/>
        </w:numPr>
        <w:rPr>
          <w:sz w:val="20"/>
          <w:szCs w:val="20"/>
          <w:lang w:val="en-GB"/>
        </w:rPr>
      </w:pPr>
      <w:r w:rsidRPr="0084688B">
        <w:rPr>
          <w:sz w:val="24"/>
          <w:szCs w:val="24"/>
          <w:lang w:val="en-GB"/>
        </w:rPr>
        <w:t>The level of complexity of the administrative and reporting requirements (in respect of the proportionality principle), and</w:t>
      </w:r>
    </w:p>
    <w:p w14:paraId="021A6E9E" w14:textId="77777777" w:rsidR="0084688B" w:rsidRPr="0084688B" w:rsidRDefault="0084688B" w:rsidP="0084688B">
      <w:pPr>
        <w:pStyle w:val="Akapitzlist"/>
        <w:numPr>
          <w:ilvl w:val="1"/>
          <w:numId w:val="2"/>
        </w:numPr>
        <w:rPr>
          <w:lang w:val="en-GB"/>
        </w:rPr>
      </w:pPr>
      <w:r w:rsidRPr="0084688B">
        <w:rPr>
          <w:sz w:val="24"/>
          <w:szCs w:val="24"/>
          <w:lang w:val="en-GB"/>
        </w:rPr>
        <w:t>The type of selection process and ranking carried out by the National Agencies, in respect of the principles of equal treatment and fair competition.</w:t>
      </w:r>
    </w:p>
    <w:p w14:paraId="4B124604" w14:textId="77777777" w:rsidR="0084688B" w:rsidRPr="0084688B" w:rsidRDefault="0084688B" w:rsidP="0084688B">
      <w:pPr>
        <w:pStyle w:val="Akapitzlist"/>
        <w:numPr>
          <w:ilvl w:val="0"/>
          <w:numId w:val="2"/>
        </w:numPr>
        <w:rPr>
          <w:sz w:val="24"/>
          <w:szCs w:val="24"/>
          <w:lang w:val="en-GB"/>
        </w:rPr>
      </w:pPr>
      <w:r w:rsidRPr="0084688B">
        <w:rPr>
          <w:sz w:val="24"/>
          <w:szCs w:val="24"/>
          <w:lang w:val="en-GB"/>
        </w:rPr>
        <w:t>When planning their projects, the applicant organisations – together with their project partners – will need to choose the most appropriate single lump sum amount to cover the costs of their project, based on their needs and objectives. Their choice needs to match the ambitions and expected outcomes of the project.</w:t>
      </w:r>
    </w:p>
    <w:p w14:paraId="1714DE26" w14:textId="77777777" w:rsidR="0084688B" w:rsidRDefault="0084688B" w:rsidP="0084688B">
      <w:pPr>
        <w:pStyle w:val="Akapitzlist"/>
        <w:numPr>
          <w:ilvl w:val="0"/>
          <w:numId w:val="2"/>
        </w:numPr>
      </w:pPr>
      <w:r w:rsidRPr="0084688B">
        <w:rPr>
          <w:sz w:val="24"/>
          <w:szCs w:val="24"/>
          <w:lang w:val="en-GB"/>
        </w:rPr>
        <w:t xml:space="preserve">Proposals must describe the activities that the applicants commit to carry out in line with the lump sum amount requested. </w:t>
      </w:r>
      <w:proofErr w:type="spellStart"/>
      <w:r>
        <w:rPr>
          <w:sz w:val="24"/>
          <w:szCs w:val="24"/>
        </w:rPr>
        <w:t>When</w:t>
      </w:r>
      <w:proofErr w:type="spellEnd"/>
      <w:r>
        <w:rPr>
          <w:sz w:val="24"/>
          <w:szCs w:val="24"/>
        </w:rPr>
        <w:t xml:space="preserve"> </w:t>
      </w:r>
      <w:proofErr w:type="spellStart"/>
      <w:r>
        <w:rPr>
          <w:sz w:val="24"/>
          <w:szCs w:val="24"/>
        </w:rPr>
        <w:t>submitting</w:t>
      </w:r>
      <w:proofErr w:type="spellEnd"/>
      <w:r>
        <w:rPr>
          <w:sz w:val="24"/>
          <w:szCs w:val="24"/>
        </w:rPr>
        <w:t xml:space="preserve"> </w:t>
      </w:r>
      <w:proofErr w:type="spellStart"/>
      <w:r>
        <w:rPr>
          <w:sz w:val="24"/>
          <w:szCs w:val="24"/>
        </w:rPr>
        <w:t>their</w:t>
      </w:r>
      <w:proofErr w:type="spellEnd"/>
      <w:r>
        <w:rPr>
          <w:sz w:val="24"/>
          <w:szCs w:val="24"/>
        </w:rPr>
        <w:t xml:space="preserve"> </w:t>
      </w:r>
      <w:proofErr w:type="spellStart"/>
      <w:r>
        <w:rPr>
          <w:sz w:val="24"/>
          <w:szCs w:val="24"/>
        </w:rPr>
        <w:t>application</w:t>
      </w:r>
      <w:proofErr w:type="spellEnd"/>
      <w:r>
        <w:rPr>
          <w:sz w:val="24"/>
          <w:szCs w:val="24"/>
        </w:rPr>
        <w:t xml:space="preserve">, the </w:t>
      </w:r>
      <w:proofErr w:type="spellStart"/>
      <w:r>
        <w:rPr>
          <w:sz w:val="24"/>
          <w:szCs w:val="24"/>
        </w:rPr>
        <w:t>applicants</w:t>
      </w:r>
      <w:proofErr w:type="spellEnd"/>
      <w:r>
        <w:rPr>
          <w:sz w:val="24"/>
          <w:szCs w:val="24"/>
        </w:rPr>
        <w:t xml:space="preserve"> </w:t>
      </w:r>
      <w:proofErr w:type="spellStart"/>
      <w:r>
        <w:rPr>
          <w:sz w:val="24"/>
          <w:szCs w:val="24"/>
        </w:rPr>
        <w:t>should</w:t>
      </w:r>
      <w:proofErr w:type="spellEnd"/>
      <w:r>
        <w:rPr>
          <w:sz w:val="24"/>
          <w:szCs w:val="24"/>
        </w:rPr>
        <w:t>:</w:t>
      </w:r>
    </w:p>
    <w:p w14:paraId="169B285B" w14:textId="77777777" w:rsidR="0084688B" w:rsidRPr="0084688B" w:rsidRDefault="0084688B" w:rsidP="0084688B">
      <w:pPr>
        <w:pStyle w:val="Akapitzlist"/>
        <w:numPr>
          <w:ilvl w:val="1"/>
          <w:numId w:val="2"/>
        </w:numPr>
        <w:rPr>
          <w:sz w:val="20"/>
          <w:szCs w:val="20"/>
          <w:lang w:val="en-GB"/>
        </w:rPr>
      </w:pPr>
      <w:r w:rsidRPr="0084688B">
        <w:rPr>
          <w:sz w:val="24"/>
          <w:szCs w:val="24"/>
          <w:lang w:val="en-GB"/>
        </w:rPr>
        <w:t xml:space="preserve">Propose to implement a series of activities which must be compliant with the eligibility criteria described in the Programme Guide and relevant to the objectives of KA2, so as to justify the request of the chosen single lump sum </w:t>
      </w:r>
      <w:proofErr w:type="gramStart"/>
      <w:r w:rsidRPr="0084688B">
        <w:rPr>
          <w:sz w:val="24"/>
          <w:szCs w:val="24"/>
          <w:lang w:val="en-GB"/>
        </w:rPr>
        <w:t>amount;</w:t>
      </w:r>
      <w:proofErr w:type="gramEnd"/>
      <w:r w:rsidRPr="0084688B">
        <w:rPr>
          <w:sz w:val="24"/>
          <w:szCs w:val="24"/>
          <w:lang w:val="en-GB"/>
        </w:rPr>
        <w:t xml:space="preserve"> </w:t>
      </w:r>
    </w:p>
    <w:p w14:paraId="5967E8A6" w14:textId="77777777" w:rsidR="0084688B" w:rsidRPr="0084688B" w:rsidRDefault="0084688B" w:rsidP="0084688B">
      <w:pPr>
        <w:pStyle w:val="Akapitzlist"/>
        <w:numPr>
          <w:ilvl w:val="1"/>
          <w:numId w:val="2"/>
        </w:numPr>
        <w:rPr>
          <w:lang w:val="en-GB"/>
        </w:rPr>
      </w:pPr>
      <w:r w:rsidRPr="0084688B">
        <w:rPr>
          <w:sz w:val="24"/>
          <w:szCs w:val="24"/>
          <w:lang w:val="en-GB"/>
        </w:rPr>
        <w:t xml:space="preserve">Submit a budget summary, which must satisfy the principles of economy, </w:t>
      </w:r>
      <w:proofErr w:type="gramStart"/>
      <w:r w:rsidRPr="0084688B">
        <w:rPr>
          <w:sz w:val="24"/>
          <w:szCs w:val="24"/>
          <w:lang w:val="en-GB"/>
        </w:rPr>
        <w:t>efficiency</w:t>
      </w:r>
      <w:proofErr w:type="gramEnd"/>
      <w:r w:rsidRPr="0084688B">
        <w:rPr>
          <w:sz w:val="24"/>
          <w:szCs w:val="24"/>
          <w:lang w:val="en-GB"/>
        </w:rPr>
        <w:t xml:space="preserve"> and effectiveness in relation to the objectives of KA2. </w:t>
      </w:r>
    </w:p>
    <w:p w14:paraId="02550DFD" w14:textId="77777777" w:rsidR="0084688B" w:rsidRPr="0084688B" w:rsidRDefault="0084688B" w:rsidP="0084688B">
      <w:pPr>
        <w:pStyle w:val="Akapitzlist"/>
        <w:numPr>
          <w:ilvl w:val="1"/>
          <w:numId w:val="2"/>
        </w:numPr>
        <w:rPr>
          <w:sz w:val="24"/>
          <w:szCs w:val="24"/>
          <w:lang w:val="en-GB"/>
        </w:rPr>
      </w:pPr>
      <w:r w:rsidRPr="0084688B">
        <w:rPr>
          <w:sz w:val="24"/>
          <w:szCs w:val="24"/>
          <w:lang w:val="en-GB"/>
        </w:rPr>
        <w:t>Provide information on “key-success factors” of the project (see Annex 1).</w:t>
      </w:r>
    </w:p>
    <w:p w14:paraId="43F37E64" w14:textId="4137A62B" w:rsidR="0084688B" w:rsidRDefault="0084688B" w:rsidP="00D21F51">
      <w:pPr>
        <w:spacing w:line="276" w:lineRule="auto"/>
        <w:rPr>
          <w:rFonts w:ascii="Calibri Light" w:hAnsi="Calibri Light" w:cs="Calibri Light"/>
          <w:color w:val="000000"/>
          <w:lang w:val="en-GB"/>
        </w:rPr>
      </w:pPr>
    </w:p>
    <w:p w14:paraId="0EEE9172" w14:textId="26914CE9" w:rsidR="00D21F51" w:rsidRDefault="00D21F51" w:rsidP="00D21F51">
      <w:pPr>
        <w:spacing w:line="276" w:lineRule="auto"/>
        <w:rPr>
          <w:rFonts w:ascii="Calibri Light" w:hAnsi="Calibri Light" w:cs="Calibri Light"/>
          <w:color w:val="000000"/>
          <w:lang w:val="en-GB"/>
        </w:rPr>
      </w:pPr>
      <w:r>
        <w:rPr>
          <w:rFonts w:ascii="Calibri Light" w:hAnsi="Calibri Light" w:cs="Calibri Light"/>
          <w:color w:val="000000"/>
          <w:lang w:val="en-GB"/>
        </w:rPr>
        <w:t>------------------------------------------------------------------------------------------------------------------------------------</w:t>
      </w:r>
    </w:p>
    <w:p w14:paraId="6C12E638" w14:textId="77777777" w:rsidR="00D21F51" w:rsidRPr="00D21F51" w:rsidRDefault="00D21F51" w:rsidP="00D21F51">
      <w:pPr>
        <w:spacing w:line="276" w:lineRule="auto"/>
        <w:rPr>
          <w:rFonts w:ascii="Calibri Light" w:hAnsi="Calibri Light" w:cs="Calibri Light"/>
          <w:color w:val="000000"/>
          <w:lang w:val="en-GB"/>
        </w:rPr>
      </w:pPr>
    </w:p>
    <w:p w14:paraId="551BC55D" w14:textId="27A3C71F" w:rsidR="0084688B" w:rsidRPr="0084688B" w:rsidRDefault="0084688B" w:rsidP="0084688B">
      <w:pPr>
        <w:pStyle w:val="Akapitzlist"/>
        <w:numPr>
          <w:ilvl w:val="0"/>
          <w:numId w:val="2"/>
        </w:numPr>
        <w:spacing w:line="276" w:lineRule="auto"/>
        <w:rPr>
          <w:rFonts w:ascii="Calibri Light" w:hAnsi="Calibri Light" w:cs="Calibri Light"/>
          <w:color w:val="000000"/>
          <w:lang w:val="en-GB"/>
        </w:rPr>
      </w:pPr>
      <w:r w:rsidRPr="0084688B">
        <w:rPr>
          <w:rFonts w:ascii="Calibri Light" w:hAnsi="Calibri Light" w:cs="Calibri Light"/>
          <w:color w:val="000000"/>
          <w:lang w:val="en-GB"/>
        </w:rPr>
        <w:t xml:space="preserve">Globalization and global environmental issues, as well as unification of scientific investigation and teaching on EU level necessitate the harmonization and correlation of technical languages, such as the terminology used by soil scientists. Despite the passage of years and the unification of many European </w:t>
      </w:r>
      <w:proofErr w:type="gramStart"/>
      <w:r w:rsidRPr="0084688B">
        <w:rPr>
          <w:rFonts w:ascii="Calibri Light" w:hAnsi="Calibri Light" w:cs="Calibri Light"/>
          <w:color w:val="000000"/>
          <w:lang w:val="en-GB"/>
        </w:rPr>
        <w:t>laws,  the</w:t>
      </w:r>
      <w:proofErr w:type="gramEnd"/>
      <w:r w:rsidRPr="0084688B">
        <w:rPr>
          <w:rFonts w:ascii="Calibri Light" w:hAnsi="Calibri Light" w:cs="Calibri Light"/>
          <w:color w:val="000000"/>
          <w:lang w:val="en-GB"/>
        </w:rPr>
        <w:t xml:space="preserve"> system of soil description it is still not unified on a satisfactory level among teaching staff of European universities. </w:t>
      </w:r>
    </w:p>
    <w:p w14:paraId="256F5681" w14:textId="77777777" w:rsidR="0084688B" w:rsidRPr="0084688B" w:rsidRDefault="0084688B" w:rsidP="0084688B">
      <w:pPr>
        <w:pStyle w:val="Akapitzlist"/>
        <w:numPr>
          <w:ilvl w:val="0"/>
          <w:numId w:val="2"/>
        </w:numPr>
        <w:spacing w:line="276" w:lineRule="auto"/>
        <w:rPr>
          <w:rFonts w:ascii="Calibri Light" w:hAnsi="Calibri Light" w:cs="Calibri Light"/>
          <w:color w:val="000000"/>
          <w:lang w:val="en-GB"/>
        </w:rPr>
      </w:pPr>
      <w:r w:rsidRPr="0084688B">
        <w:rPr>
          <w:rFonts w:ascii="Calibri Light" w:hAnsi="Calibri Light" w:cs="Calibri Light"/>
          <w:color w:val="000000"/>
          <w:lang w:val="en-GB"/>
        </w:rPr>
        <w:t xml:space="preserve">The consortium brought together the experts from 9 Institutions from 8 countries (Czechia, Estonia, Hungary, Latvia, Lithuania Poland, </w:t>
      </w:r>
      <w:proofErr w:type="gramStart"/>
      <w:r w:rsidRPr="0084688B">
        <w:rPr>
          <w:rFonts w:ascii="Calibri Light" w:hAnsi="Calibri Light" w:cs="Calibri Light"/>
          <w:color w:val="000000"/>
          <w:lang w:val="en-GB"/>
        </w:rPr>
        <w:t>Slovakia</w:t>
      </w:r>
      <w:proofErr w:type="gramEnd"/>
      <w:r w:rsidRPr="0084688B">
        <w:rPr>
          <w:rFonts w:ascii="Calibri Light" w:hAnsi="Calibri Light" w:cs="Calibri Light"/>
          <w:color w:val="000000"/>
          <w:lang w:val="en-GB"/>
        </w:rPr>
        <w:t xml:space="preserve"> and Slovenia) all having experience in soil classification of different regions of Central Europe. Each partner has advanced knowledge on soils </w:t>
      </w:r>
      <w:proofErr w:type="gramStart"/>
      <w:r w:rsidRPr="0084688B">
        <w:rPr>
          <w:rFonts w:ascii="Calibri Light" w:hAnsi="Calibri Light" w:cs="Calibri Light"/>
          <w:color w:val="000000"/>
          <w:lang w:val="en-GB"/>
        </w:rPr>
        <w:t>of  particular</w:t>
      </w:r>
      <w:proofErr w:type="gramEnd"/>
      <w:r w:rsidRPr="0084688B">
        <w:rPr>
          <w:rFonts w:ascii="Calibri Light" w:hAnsi="Calibri Light" w:cs="Calibri Light"/>
          <w:color w:val="000000"/>
          <w:lang w:val="en-GB"/>
        </w:rPr>
        <w:t xml:space="preserve"> region. Individual members of the consortium also participated in numerous activities related to the adaptation of the WRB on a regional (national) scale, translations of this system into national languages, international correlation and testing of WRB, and its use in the context of learning and teaching at higher education level. Such experience was essential to reach the project objectives. Cooperation during project lifetime proved, that it was the optimal choice of partners. All involved have worked in a timely and effective manner, which enabled </w:t>
      </w:r>
      <w:proofErr w:type="gramStart"/>
      <w:r w:rsidRPr="0084688B">
        <w:rPr>
          <w:rFonts w:ascii="Calibri Light" w:hAnsi="Calibri Light" w:cs="Calibri Light"/>
          <w:color w:val="000000"/>
          <w:lang w:val="en-GB"/>
        </w:rPr>
        <w:t>all of</w:t>
      </w:r>
      <w:proofErr w:type="gramEnd"/>
      <w:r w:rsidRPr="0084688B">
        <w:rPr>
          <w:rFonts w:ascii="Calibri Light" w:hAnsi="Calibri Light" w:cs="Calibri Light"/>
          <w:color w:val="000000"/>
          <w:lang w:val="en-GB"/>
        </w:rPr>
        <w:t xml:space="preserve"> the objectives to be achieved and even expanded. </w:t>
      </w:r>
    </w:p>
    <w:p w14:paraId="7C6A1482" w14:textId="77777777" w:rsidR="0084688B" w:rsidRPr="0084688B" w:rsidRDefault="0084688B" w:rsidP="0084688B">
      <w:pPr>
        <w:pStyle w:val="Akapitzlist"/>
        <w:numPr>
          <w:ilvl w:val="0"/>
          <w:numId w:val="2"/>
        </w:numPr>
        <w:spacing w:line="276" w:lineRule="auto"/>
        <w:rPr>
          <w:rFonts w:ascii="Calibri Light" w:hAnsi="Calibri Light" w:cs="Calibri Light"/>
          <w:color w:val="000000"/>
          <w:lang w:val="en-GB"/>
        </w:rPr>
      </w:pPr>
      <w:r w:rsidRPr="0084688B">
        <w:rPr>
          <w:rFonts w:ascii="Calibri Light" w:hAnsi="Calibri Light" w:cs="Calibri Light"/>
          <w:color w:val="000000"/>
          <w:lang w:val="en-GB"/>
        </w:rPr>
        <w:t xml:space="preserve">Project partners encourage for wide use of unified methods for soil diagnosis and description (FAO Guidelines, 2006). </w:t>
      </w:r>
      <w:proofErr w:type="gramStart"/>
      <w:r w:rsidRPr="0084688B">
        <w:rPr>
          <w:rFonts w:ascii="Calibri Light" w:hAnsi="Calibri Light" w:cs="Calibri Light"/>
          <w:color w:val="000000"/>
          <w:lang w:val="en-GB"/>
        </w:rPr>
        <w:t>Therefore</w:t>
      </w:r>
      <w:proofErr w:type="gramEnd"/>
      <w:r w:rsidRPr="0084688B">
        <w:rPr>
          <w:rFonts w:ascii="Calibri Light" w:hAnsi="Calibri Light" w:cs="Calibri Light"/>
          <w:color w:val="000000"/>
          <w:lang w:val="en-GB"/>
        </w:rPr>
        <w:t xml:space="preserve"> introduction of this system in students’ training is very important. Publication of Students’ version Guidelines, where both activities are integrated, e.g. </w:t>
      </w:r>
      <w:r w:rsidRPr="0084688B">
        <w:rPr>
          <w:rFonts w:ascii="Calibri Light" w:hAnsi="Calibri Light" w:cs="Calibri Light"/>
          <w:color w:val="000000"/>
          <w:lang w:val="en-GB"/>
        </w:rPr>
        <w:lastRenderedPageBreak/>
        <w:t xml:space="preserve">soil diagnosis and WRB classification, offers a better </w:t>
      </w:r>
      <w:proofErr w:type="gramStart"/>
      <w:r w:rsidRPr="0084688B">
        <w:rPr>
          <w:rFonts w:ascii="Calibri Light" w:hAnsi="Calibri Light" w:cs="Calibri Light"/>
          <w:color w:val="000000"/>
          <w:lang w:val="en-GB"/>
        </w:rPr>
        <w:t>opportunity  for</w:t>
      </w:r>
      <w:proofErr w:type="gramEnd"/>
      <w:r w:rsidRPr="0084688B">
        <w:rPr>
          <w:rFonts w:ascii="Calibri Light" w:hAnsi="Calibri Light" w:cs="Calibri Light"/>
          <w:color w:val="000000"/>
          <w:lang w:val="en-GB"/>
        </w:rPr>
        <w:t xml:space="preserve"> the non-professional users to better understand these systems, and to see its contiguity.</w:t>
      </w:r>
    </w:p>
    <w:p w14:paraId="0CA1C594" w14:textId="77777777" w:rsidR="0084688B" w:rsidRPr="0084688B" w:rsidRDefault="0084688B" w:rsidP="0084688B">
      <w:pPr>
        <w:rPr>
          <w:lang w:val="en-GB"/>
        </w:rPr>
      </w:pPr>
    </w:p>
    <w:p w14:paraId="2A8758A9" w14:textId="77777777" w:rsidR="00BF1C21" w:rsidRPr="0084688B" w:rsidRDefault="00BF1C21">
      <w:pPr>
        <w:rPr>
          <w:lang w:val="en-GB"/>
        </w:rPr>
      </w:pPr>
    </w:p>
    <w:sectPr w:rsidR="00BF1C21" w:rsidRPr="00846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5728B"/>
    <w:multiLevelType w:val="hybridMultilevel"/>
    <w:tmpl w:val="3F3C6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56642F7"/>
    <w:multiLevelType w:val="hybridMultilevel"/>
    <w:tmpl w:val="F6CEE4C8"/>
    <w:lvl w:ilvl="0" w:tplc="690E9CB0">
      <w:start w:val="1"/>
      <w:numFmt w:val="bullet"/>
      <w:pStyle w:val="Akapitzlis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8B"/>
    <w:rsid w:val="005D167D"/>
    <w:rsid w:val="0084688B"/>
    <w:rsid w:val="00BF1C21"/>
    <w:rsid w:val="00CE3336"/>
    <w:rsid w:val="00D21F51"/>
    <w:rsid w:val="00F71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DE25"/>
  <w15:chartTrackingRefBased/>
  <w15:docId w15:val="{3D27439B-4933-4F58-9FEC-B15FCE96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688B"/>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1st level - Bullet List Paragraph Znak,List Paragraph1 Znak,Lettre d'introduction Znak,Paragrafo elenco Znak,Medium Grid 1 - Accent 21 Znak,Fiche List Paragraph Znak,Conclusion de partie Znak,Dot pt Znak,No Spacing1 Znak,2 Znak"/>
    <w:basedOn w:val="Domylnaczcionkaakapitu"/>
    <w:link w:val="Akapitzlist"/>
    <w:uiPriority w:val="34"/>
    <w:locked/>
    <w:rsid w:val="0084688B"/>
    <w:rPr>
      <w:lang w:eastAsia="en-GB"/>
    </w:rPr>
  </w:style>
  <w:style w:type="paragraph" w:styleId="Akapitzlist">
    <w:name w:val="List Paragraph"/>
    <w:aliases w:val="1st level - Bullet List Paragraph,List Paragraph1,Lettre d'introduction,Paragrafo elenco,Medium Grid 1 - Accent 21,Fiche List Paragraph,Conclusion de partie,Dot pt,No Spacing1,List Paragraph Char Char Char,Indicator Text,Numbered Para 1,2"/>
    <w:basedOn w:val="Normalny"/>
    <w:link w:val="AkapitzlistZnak"/>
    <w:uiPriority w:val="34"/>
    <w:qFormat/>
    <w:rsid w:val="0084688B"/>
    <w:pPr>
      <w:numPr>
        <w:numId w:val="1"/>
      </w:numPr>
      <w:jc w:val="both"/>
    </w:pPr>
    <w:rPr>
      <w:rFonts w:asciiTheme="minorHAnsi"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5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3182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Chojnacki</dc:creator>
  <cp:keywords/>
  <dc:description/>
  <cp:lastModifiedBy>Michał Chojnacki</cp:lastModifiedBy>
  <cp:revision>2</cp:revision>
  <dcterms:created xsi:type="dcterms:W3CDTF">2022-01-17T10:54:00Z</dcterms:created>
  <dcterms:modified xsi:type="dcterms:W3CDTF">2022-01-17T10:54:00Z</dcterms:modified>
</cp:coreProperties>
</file>