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D338" w14:textId="2177332C" w:rsidR="001D0E8E" w:rsidRPr="001A6A19" w:rsidRDefault="001D0E8E" w:rsidP="001A6A19">
      <w:pPr>
        <w:pStyle w:val="Nagwek2"/>
      </w:pPr>
      <w:r w:rsidRPr="00D21B6F">
        <w:rPr>
          <w:rFonts w:eastAsia="Times New Roman"/>
          <w:lang w:val="pl-PL" w:eastAsia="pl-PL"/>
        </w:rPr>
        <w:t>I</w:t>
      </w:r>
    </w:p>
    <w:p w14:paraId="44BEF994" w14:textId="6D79776F" w:rsidR="001A6A19" w:rsidRPr="001A6A19" w:rsidRDefault="001D0E8E" w:rsidP="001A6A19">
      <w:pPr>
        <w:pStyle w:val="Nagwek2"/>
      </w:pPr>
      <w:proofErr w:type="spellStart"/>
      <w:r w:rsidRPr="001A6A19">
        <w:t>Kształcenie</w:t>
      </w:r>
      <w:proofErr w:type="spellEnd"/>
      <w:r w:rsidRPr="001A6A19">
        <w:t xml:space="preserve"> </w:t>
      </w:r>
      <w:proofErr w:type="spellStart"/>
      <w:r w:rsidRPr="001A6A19">
        <w:t>zawodowe</w:t>
      </w:r>
      <w:proofErr w:type="spellEnd"/>
      <w:r w:rsidRPr="001A6A19">
        <w:t xml:space="preserve"> w </w:t>
      </w:r>
      <w:proofErr w:type="spellStart"/>
      <w:r w:rsidRPr="001A6A19">
        <w:t>Polsce</w:t>
      </w:r>
      <w:proofErr w:type="spellEnd"/>
    </w:p>
    <w:p w14:paraId="40D9BB11" w14:textId="20741C87" w:rsidR="007B5069" w:rsidRPr="00D21B6F" w:rsidRDefault="001D0E8E" w:rsidP="001D0E8E">
      <w:pPr>
        <w:spacing w:after="0"/>
        <w:jc w:val="both"/>
        <w:rPr>
          <w:rFonts w:ascii="Times New Roman" w:eastAsia="Times New Roman" w:hAnsi="Times New Roman"/>
          <w:lang w:val="pl-PL" w:eastAsia="pl-PL"/>
        </w:rPr>
      </w:pPr>
      <w:r w:rsidRPr="00D21B6F">
        <w:rPr>
          <w:rFonts w:ascii="Times New Roman" w:eastAsia="Times New Roman" w:hAnsi="Times New Roman"/>
          <w:lang w:val="pl-PL" w:eastAsia="pl-PL"/>
        </w:rPr>
        <w:t xml:space="preserve">(…) </w:t>
      </w:r>
      <w:r w:rsidR="00BA1E26" w:rsidRPr="00D21B6F">
        <w:rPr>
          <w:rFonts w:ascii="Times New Roman" w:eastAsia="Times New Roman" w:hAnsi="Times New Roman"/>
          <w:lang w:val="pl-PL" w:eastAsia="pl-PL"/>
        </w:rPr>
        <w:t>Pierwsza dekada lat dwutysięcznych to okres przygotowań do długo oczekiwanej reformy kształcenia zawodowego. W 2010 r. Krajowy Ośrodek Wspierania Edukacji Zawodowej i</w:t>
      </w:r>
      <w:r w:rsidR="007B5069" w:rsidRPr="00D21B6F">
        <w:rPr>
          <w:rFonts w:ascii="Times New Roman" w:eastAsia="Times New Roman" w:hAnsi="Times New Roman"/>
          <w:lang w:val="pl-PL" w:eastAsia="pl-PL"/>
        </w:rPr>
        <w:t> </w:t>
      </w:r>
      <w:r w:rsidR="00BA1E26" w:rsidRPr="00D21B6F">
        <w:rPr>
          <w:rFonts w:ascii="Times New Roman" w:eastAsia="Times New Roman" w:hAnsi="Times New Roman"/>
          <w:lang w:val="pl-PL" w:eastAsia="pl-PL"/>
        </w:rPr>
        <w:t>Ustawicznej (</w:t>
      </w:r>
      <w:proofErr w:type="spellStart"/>
      <w:r w:rsidR="00BA1E26" w:rsidRPr="00D21B6F">
        <w:rPr>
          <w:rFonts w:ascii="Times New Roman" w:eastAsia="Times New Roman" w:hAnsi="Times New Roman"/>
          <w:lang w:val="pl-PL" w:eastAsia="pl-PL"/>
        </w:rPr>
        <w:t>KOWEZiU</w:t>
      </w:r>
      <w:proofErr w:type="spellEnd"/>
      <w:r w:rsidR="00BA1E26" w:rsidRPr="00D21B6F">
        <w:rPr>
          <w:rFonts w:ascii="Times New Roman" w:eastAsia="Times New Roman" w:hAnsi="Times New Roman"/>
          <w:lang w:val="pl-PL" w:eastAsia="pl-PL"/>
        </w:rPr>
        <w:t>) rozpoczął realizację kompleksowego badania mającego na celu wielowymiarową diagnozę stanu</w:t>
      </w:r>
      <w:r w:rsidR="007B5069" w:rsidRPr="00D21B6F">
        <w:rPr>
          <w:rFonts w:ascii="Times New Roman" w:eastAsia="Times New Roman" w:hAnsi="Times New Roman"/>
          <w:lang w:val="pl-PL" w:eastAsia="pl-PL"/>
        </w:rPr>
        <w:t xml:space="preserve"> </w:t>
      </w:r>
      <w:r w:rsidR="00BA1E26" w:rsidRPr="00D21B6F">
        <w:rPr>
          <w:rFonts w:ascii="Times New Roman" w:eastAsia="Times New Roman" w:hAnsi="Times New Roman"/>
          <w:lang w:val="pl-PL" w:eastAsia="pl-PL"/>
        </w:rPr>
        <w:t>szkolnictwa zawodowego przed planowaną reformą. Wnioski z badań opublikowano w raporcie Stan szkolnictwa zawodowego w Polsce (</w:t>
      </w:r>
      <w:proofErr w:type="spellStart"/>
      <w:r w:rsidR="00BA1E26" w:rsidRPr="00D21B6F">
        <w:rPr>
          <w:rFonts w:ascii="Times New Roman" w:eastAsia="Times New Roman" w:hAnsi="Times New Roman"/>
          <w:lang w:val="pl-PL" w:eastAsia="pl-PL"/>
        </w:rPr>
        <w:t>KOWEZiU</w:t>
      </w:r>
      <w:proofErr w:type="spellEnd"/>
      <w:r w:rsidR="00BA1E26" w:rsidRPr="00D21B6F">
        <w:rPr>
          <w:rFonts w:ascii="Times New Roman" w:eastAsia="Times New Roman" w:hAnsi="Times New Roman"/>
          <w:lang w:val="pl-PL" w:eastAsia="pl-PL"/>
        </w:rPr>
        <w:t xml:space="preserve"> 2013). Jego autorzy zwracali uwagę na powoli rosnące zainteresowanie młodzieży kształceniem zawodowym. Było to odwrócenie trendów obserwowanych do 2005</w:t>
      </w:r>
      <w:r w:rsidR="007B5069" w:rsidRPr="00D21B6F">
        <w:rPr>
          <w:rFonts w:ascii="Times New Roman" w:eastAsia="Times New Roman" w:hAnsi="Times New Roman"/>
          <w:lang w:val="pl-PL" w:eastAsia="pl-PL"/>
        </w:rPr>
        <w:t> </w:t>
      </w:r>
      <w:r w:rsidR="00BA1E26" w:rsidRPr="00D21B6F">
        <w:rPr>
          <w:rFonts w:ascii="Times New Roman" w:eastAsia="Times New Roman" w:hAnsi="Times New Roman"/>
          <w:lang w:val="pl-PL" w:eastAsia="pl-PL"/>
        </w:rPr>
        <w:t>r. Z drugiej strony wyniki badań wskazywały na niską świadomość, zarówno uczniów, jak i rodziców, wartości kształcenia zawodowego oraz utrzymujące się negatywne opinie na temat szkół zawodowych.</w:t>
      </w:r>
    </w:p>
    <w:p w14:paraId="1DF87D3C" w14:textId="43DBE99E" w:rsidR="00BA1E26" w:rsidRPr="00D21B6F" w:rsidRDefault="00BA1E26" w:rsidP="001D0E8E">
      <w:pPr>
        <w:spacing w:after="0"/>
        <w:jc w:val="both"/>
        <w:rPr>
          <w:rFonts w:ascii="Times New Roman" w:eastAsia="Times New Roman" w:hAnsi="Times New Roman"/>
          <w:lang w:val="pl-PL" w:eastAsia="pl-PL"/>
        </w:rPr>
      </w:pPr>
      <w:r w:rsidRPr="00D21B6F">
        <w:rPr>
          <w:rFonts w:ascii="Times New Roman" w:eastAsia="Times New Roman" w:hAnsi="Times New Roman"/>
          <w:lang w:val="pl-PL" w:eastAsia="pl-PL"/>
        </w:rPr>
        <w:t>Oferta dydaktyczna szkół kształcących zawodowo była przede wszystkim wypadkową zaplecza techniczno-dydaktycznego, zasobów kadrowych i kosztów, a w dużo mniejszym stopniu wynikiem analizy zapotrzebowania rynkowego i oferty kształcenia w regionie. Możliwość dofinansowania wyposażenia szkół ze środków UE, jaka pojawiła się po 2004 r., wpłynęła na systematyczną poprawę warunków kształcenia, jednak poziom wyposażenia warsztatów i pracowni był wciąż bardzo zróżnicowany i nadal ponad 80% dyrektorów badanych placówek deklarowało, że szkoły wymagają remontu. Wskazywano, że stan infrastruktury szkół</w:t>
      </w:r>
      <w:r w:rsidR="007B5069" w:rsidRPr="00D21B6F">
        <w:rPr>
          <w:rFonts w:ascii="Times New Roman" w:eastAsia="Times New Roman" w:hAnsi="Times New Roman"/>
          <w:lang w:val="pl-PL" w:eastAsia="pl-PL"/>
        </w:rPr>
        <w:t xml:space="preserve"> </w:t>
      </w:r>
      <w:r w:rsidRPr="00D21B6F">
        <w:rPr>
          <w:rFonts w:ascii="Times New Roman" w:eastAsia="Times New Roman" w:hAnsi="Times New Roman"/>
          <w:lang w:val="pl-PL" w:eastAsia="pl-PL"/>
        </w:rPr>
        <w:t>zawodowych świadczy wciąż o głębokim niedoinwestowaniu. Jednocześnie sposób finansowania tych placówek prowadzi do systematycznego pogarszania się warunków lokalowych w nich panujących. Kolejnym problemem były narastające trudności z pozyskaniem nauczycieli przedmiotów zawodowych i instruktorów praktycznej nauki zawodu. Dużą część kadry pedagogicznej szkół kształcących zawodowo stanowiły osoby w wieku przedemerytalnym, a warunki zatrudnienia, które dyrektorzy mogliby zaoferować ich potencjalnym następcom, okazywały się mało atrakcyjne. Taka sytuacja zdaniem autorów diagnozy w dłużej perspektywie stanowiła poważne zagrożenie dla funkcjonowania systemu szkolnictwa zawodowego (</w:t>
      </w:r>
      <w:proofErr w:type="spellStart"/>
      <w:r w:rsidRPr="00D21B6F">
        <w:rPr>
          <w:rFonts w:ascii="Times New Roman" w:eastAsia="Times New Roman" w:hAnsi="Times New Roman"/>
          <w:lang w:val="pl-PL" w:eastAsia="pl-PL"/>
        </w:rPr>
        <w:t>KOWEZiU</w:t>
      </w:r>
      <w:proofErr w:type="spellEnd"/>
      <w:r w:rsidRPr="00D21B6F">
        <w:rPr>
          <w:rFonts w:ascii="Times New Roman" w:eastAsia="Times New Roman" w:hAnsi="Times New Roman"/>
          <w:lang w:val="pl-PL" w:eastAsia="pl-PL"/>
        </w:rPr>
        <w:t xml:space="preserve"> 2013). Realizowane w tym czasie projekty finansowane ze środków UE i adresowane do nauczycieli przedmiotów zawodowych („Efektywny nauczyciel sztuki kulinarnej – wdrożenie modelu”, „Efektywny nauczyciel przedmiotów ekonomicznych”, „Doskonalenie «chlebem powszednim» nauczyciela zawodu”) także wskazywały na ubogą infrastrukturę i niedoinwestowane wyposażenie szkolnych pracowni i warsztatów, a także liczne braki w przygotowaniu nauczycieli przedmiotów zawodowych. Potwierdzają to poniższe wypowiedzi (Borys 2012):</w:t>
      </w:r>
    </w:p>
    <w:p w14:paraId="67BB611D" w14:textId="28E0E0C0" w:rsidR="007B5069" w:rsidRPr="00D21B6F" w:rsidRDefault="00BA1E26" w:rsidP="001D0E8E">
      <w:pPr>
        <w:spacing w:after="0"/>
        <w:jc w:val="both"/>
        <w:rPr>
          <w:rFonts w:ascii="Times New Roman" w:eastAsia="Times New Roman" w:hAnsi="Times New Roman"/>
          <w:lang w:val="pl-PL" w:eastAsia="pl-PL"/>
        </w:rPr>
      </w:pPr>
      <w:r w:rsidRPr="00D21B6F">
        <w:rPr>
          <w:rFonts w:ascii="Times New Roman" w:eastAsia="Times New Roman" w:hAnsi="Times New Roman"/>
          <w:lang w:val="pl-PL" w:eastAsia="pl-PL"/>
        </w:rPr>
        <w:br/>
        <w:t>„Niezbyt kompetentnie się czuję czasem, bo jestem samoukiem, tzn.</w:t>
      </w:r>
      <w:r w:rsidR="007B5069" w:rsidRPr="00D21B6F">
        <w:rPr>
          <w:rFonts w:ascii="Times New Roman" w:eastAsia="Times New Roman" w:hAnsi="Times New Roman"/>
          <w:lang w:val="pl-PL" w:eastAsia="pl-PL"/>
        </w:rPr>
        <w:t xml:space="preserve"> </w:t>
      </w:r>
      <w:r w:rsidRPr="00D21B6F">
        <w:rPr>
          <w:rFonts w:ascii="Times New Roman" w:eastAsia="Times New Roman" w:hAnsi="Times New Roman"/>
          <w:lang w:val="pl-PL" w:eastAsia="pl-PL"/>
        </w:rPr>
        <w:t>uczestniczyłam w jakimś szkoleniu z zakresu księgowości komputerowej, ale to jest tylko kurs. Natomiast nigdy nie widziałam, jak to w praktyce wygląda [...]. Sama opracowuję przykłady na lekcje, nie ma podręczników do tej pracowni [...] także przydałaby się praktyka w przedsiębiorstwie” (Borys 2012, s. 92).</w:t>
      </w:r>
    </w:p>
    <w:p w14:paraId="13E4F9FB" w14:textId="5BF6BCB3" w:rsidR="007B5069" w:rsidRPr="00D21B6F" w:rsidRDefault="00BA1E26" w:rsidP="001D0E8E">
      <w:pPr>
        <w:spacing w:after="0"/>
        <w:jc w:val="both"/>
        <w:rPr>
          <w:rFonts w:ascii="Times New Roman" w:eastAsia="Times New Roman" w:hAnsi="Times New Roman"/>
          <w:lang w:val="pl-PL" w:eastAsia="pl-PL"/>
        </w:rPr>
      </w:pPr>
      <w:r w:rsidRPr="00D21B6F">
        <w:rPr>
          <w:rFonts w:ascii="Times New Roman" w:eastAsia="Times New Roman" w:hAnsi="Times New Roman"/>
          <w:lang w:val="pl-PL" w:eastAsia="pl-PL"/>
        </w:rPr>
        <w:br/>
        <w:t>„Lęk wynika z braku opanowania podstawowych umiejętności, chociażby krojenia. Nie</w:t>
      </w:r>
      <w:r w:rsidR="00F31BB3" w:rsidRPr="00D21B6F">
        <w:rPr>
          <w:rFonts w:ascii="Times New Roman" w:eastAsia="Times New Roman" w:hAnsi="Times New Roman"/>
          <w:lang w:val="pl-PL" w:eastAsia="pl-PL"/>
        </w:rPr>
        <w:t xml:space="preserve"> </w:t>
      </w:r>
      <w:r w:rsidRPr="00D21B6F">
        <w:rPr>
          <w:rFonts w:ascii="Times New Roman" w:eastAsia="Times New Roman" w:hAnsi="Times New Roman"/>
          <w:lang w:val="pl-PL" w:eastAsia="pl-PL"/>
        </w:rPr>
        <w:t>jestem w</w:t>
      </w:r>
      <w:r w:rsidR="00054745">
        <w:rPr>
          <w:rFonts w:ascii="Times New Roman" w:eastAsia="Times New Roman" w:hAnsi="Times New Roman"/>
          <w:lang w:val="pl-PL" w:eastAsia="pl-PL"/>
        </w:rPr>
        <w:t> </w:t>
      </w:r>
      <w:r w:rsidRPr="00D21B6F">
        <w:rPr>
          <w:rFonts w:ascii="Times New Roman" w:eastAsia="Times New Roman" w:hAnsi="Times New Roman"/>
          <w:lang w:val="pl-PL" w:eastAsia="pl-PL"/>
        </w:rPr>
        <w:t>stanie pokazać uczniom takiego krojenia jak ten pan, bo [...] nie robi się tego na co dzień” (tamże, s.</w:t>
      </w:r>
      <w:r w:rsidR="00054745">
        <w:rPr>
          <w:rFonts w:ascii="Times New Roman" w:eastAsia="Times New Roman" w:hAnsi="Times New Roman"/>
          <w:lang w:val="pl-PL" w:eastAsia="pl-PL"/>
        </w:rPr>
        <w:t> </w:t>
      </w:r>
      <w:r w:rsidRPr="00D21B6F">
        <w:rPr>
          <w:rFonts w:ascii="Times New Roman" w:eastAsia="Times New Roman" w:hAnsi="Times New Roman"/>
          <w:lang w:val="pl-PL" w:eastAsia="pl-PL"/>
        </w:rPr>
        <w:t>93).</w:t>
      </w:r>
    </w:p>
    <w:p w14:paraId="6FD3F970" w14:textId="035FD59E" w:rsidR="00BA1E26" w:rsidRPr="00D21B6F" w:rsidRDefault="00BA1E26" w:rsidP="001D0E8E">
      <w:pPr>
        <w:spacing w:after="0"/>
        <w:jc w:val="both"/>
        <w:rPr>
          <w:rFonts w:ascii="Times New Roman" w:eastAsia="Times New Roman" w:hAnsi="Times New Roman"/>
          <w:lang w:val="pl-PL" w:eastAsia="pl-PL"/>
        </w:rPr>
      </w:pPr>
      <w:r w:rsidRPr="00D21B6F">
        <w:rPr>
          <w:rFonts w:ascii="Times New Roman" w:eastAsia="Times New Roman" w:hAnsi="Times New Roman"/>
          <w:lang w:val="pl-PL" w:eastAsia="pl-PL"/>
        </w:rPr>
        <w:br/>
        <w:t>„Wiedza książkowa jest nieaktualna. Ciągle mam poczucie, że czegoś nie wiem [...] i ciągle w</w:t>
      </w:r>
      <w:r w:rsidR="007B5069" w:rsidRPr="00D21B6F">
        <w:rPr>
          <w:rFonts w:ascii="Times New Roman" w:eastAsia="Times New Roman" w:hAnsi="Times New Roman"/>
          <w:lang w:val="pl-PL" w:eastAsia="pl-PL"/>
        </w:rPr>
        <w:t> </w:t>
      </w:r>
      <w:proofErr w:type="spellStart"/>
      <w:r w:rsidRPr="00D21B6F">
        <w:rPr>
          <w:rFonts w:ascii="Times New Roman" w:eastAsia="Times New Roman" w:hAnsi="Times New Roman"/>
          <w:lang w:val="pl-PL" w:eastAsia="pl-PL"/>
        </w:rPr>
        <w:t>internecie</w:t>
      </w:r>
      <w:proofErr w:type="spellEnd"/>
      <w:r w:rsidRPr="00D21B6F">
        <w:rPr>
          <w:rFonts w:ascii="Times New Roman" w:eastAsia="Times New Roman" w:hAnsi="Times New Roman"/>
          <w:lang w:val="pl-PL" w:eastAsia="pl-PL"/>
        </w:rPr>
        <w:t xml:space="preserve"> wertuję i wydaje mi się, że nie do końca, cały czas tak jest” (tamże, s. 93).</w:t>
      </w:r>
      <w:r w:rsidR="007B5069" w:rsidRPr="00D21B6F">
        <w:rPr>
          <w:rFonts w:ascii="Times New Roman" w:eastAsia="Times New Roman" w:hAnsi="Times New Roman"/>
          <w:lang w:val="pl-PL" w:eastAsia="pl-PL"/>
        </w:rPr>
        <w:t xml:space="preserve"> </w:t>
      </w:r>
      <w:r w:rsidRPr="00D21B6F">
        <w:rPr>
          <w:rFonts w:ascii="Times New Roman" w:eastAsia="Times New Roman" w:hAnsi="Times New Roman"/>
          <w:lang w:val="pl-PL" w:eastAsia="pl-PL"/>
        </w:rPr>
        <w:t xml:space="preserve">Przywoływaną diagnozę przeprowadzono u progu istotnych zmian, które zaszły w polskim szkolnictwie zawodowym po 2012 r. Reforma szkolnictwa zawodowego miała z jednej strony stanowić odpowiedź na wyzwania tego sektora, z drugiej była konsekwencją procesów integracji europejskiej i dostosowywania </w:t>
      </w:r>
      <w:r w:rsidRPr="00D21B6F">
        <w:rPr>
          <w:rFonts w:ascii="Times New Roman" w:eastAsia="Times New Roman" w:hAnsi="Times New Roman"/>
          <w:lang w:val="pl-PL" w:eastAsia="pl-PL"/>
        </w:rPr>
        <w:lastRenderedPageBreak/>
        <w:t>polskiego systemu szkolnictwa zawodowego do standardów UE. Wiązało się to z wprowadzaniem w</w:t>
      </w:r>
      <w:r w:rsidR="00054745">
        <w:rPr>
          <w:rFonts w:ascii="Times New Roman" w:eastAsia="Times New Roman" w:hAnsi="Times New Roman"/>
          <w:lang w:val="pl-PL" w:eastAsia="pl-PL"/>
        </w:rPr>
        <w:t> </w:t>
      </w:r>
      <w:r w:rsidRPr="00D21B6F">
        <w:rPr>
          <w:rFonts w:ascii="Times New Roman" w:eastAsia="Times New Roman" w:hAnsi="Times New Roman"/>
          <w:lang w:val="pl-PL" w:eastAsia="pl-PL"/>
        </w:rPr>
        <w:t>Polsce ogólnoeuropejskich rozwiązań systemowych, które mają zapewnić większą transparentność, porównywalność i wzajemne uznawanie kwalifikacji osób uczących się i pracowników na terenie UE. Są to:</w:t>
      </w:r>
    </w:p>
    <w:p w14:paraId="701A31DB" w14:textId="24574716" w:rsidR="00BA1E26" w:rsidRPr="00D21B6F" w:rsidRDefault="00BA1E26" w:rsidP="001D0E8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val="pl-PL" w:eastAsia="pl-PL"/>
        </w:rPr>
      </w:pPr>
      <w:r w:rsidRPr="00D21B6F">
        <w:rPr>
          <w:rFonts w:ascii="Times New Roman" w:eastAsia="Times New Roman" w:hAnsi="Times New Roman"/>
          <w:lang w:val="pl-PL" w:eastAsia="pl-PL"/>
        </w:rPr>
        <w:t>Europejska Rama Kwalifikacji (EQF) – pozwala na uznawanie efektów uczenia się niezależnie od formy i miejsca kształcenia. Wskazuje na wiedzę, umiejętności i</w:t>
      </w:r>
      <w:r w:rsidR="00F31BB3" w:rsidRPr="00D21B6F">
        <w:rPr>
          <w:rFonts w:ascii="Times New Roman" w:eastAsia="Times New Roman" w:hAnsi="Times New Roman"/>
          <w:lang w:val="pl-PL" w:eastAsia="pl-PL"/>
        </w:rPr>
        <w:t> </w:t>
      </w:r>
      <w:r w:rsidRPr="00D21B6F">
        <w:rPr>
          <w:rFonts w:ascii="Times New Roman" w:eastAsia="Times New Roman" w:hAnsi="Times New Roman"/>
          <w:lang w:val="pl-PL" w:eastAsia="pl-PL"/>
        </w:rPr>
        <w:t>kompetencje właściwe każdemu z ośmiu wyróżnionych poziomów kwalifikacji. Polski opis hierarchii poziomów kwalifikacji – Polska Rama Kwalifikacji – znajduje odniesienie do Europejskiej Ramy Kwalifikacji w raporcie referencyjnym opublikowanym w 2013 r</w:t>
      </w:r>
      <w:r w:rsidR="00F31BB3" w:rsidRPr="00D21B6F">
        <w:rPr>
          <w:rFonts w:ascii="Times New Roman" w:eastAsia="Times New Roman" w:hAnsi="Times New Roman"/>
          <w:lang w:val="pl-PL" w:eastAsia="pl-PL"/>
        </w:rPr>
        <w:t>.</w:t>
      </w:r>
    </w:p>
    <w:p w14:paraId="4A316DBD" w14:textId="1498EC0C" w:rsidR="00BA1E26" w:rsidRPr="00D21B6F" w:rsidRDefault="00BA1E26" w:rsidP="001D0E8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val="pl-PL" w:eastAsia="pl-PL"/>
        </w:rPr>
      </w:pPr>
      <w:r w:rsidRPr="00D21B6F">
        <w:rPr>
          <w:rFonts w:ascii="Times New Roman" w:eastAsia="Times New Roman" w:hAnsi="Times New Roman"/>
          <w:lang w:val="pl-PL" w:eastAsia="pl-PL"/>
        </w:rPr>
        <w:t xml:space="preserve">Europejski System Transferu Osiągnięć w Kształceniu i Szkoleniu Zawodowym (ECVET) – stwarza możliwość akumulowania, wzajemnego uznawania i przenoszenia efektów uczenia się między różnymi instytucjami kształcącymi zawodowo. </w:t>
      </w:r>
    </w:p>
    <w:p w14:paraId="7CE97C42" w14:textId="5FC47B8E" w:rsidR="00BA1E26" w:rsidRPr="00D21B6F" w:rsidRDefault="00BA1E26" w:rsidP="001D0E8E">
      <w:pPr>
        <w:pStyle w:val="a711Textbulletlvl1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Europejskie Ramy Odniesienia na Rzecz Zapewnienia Jakości w Kształceniu i</w:t>
      </w:r>
      <w:r w:rsidR="007B5069"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 </w:t>
      </w:r>
      <w:r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Szkoleniu Zawodowym (EQAVET) – jest to zestaw projakościowych zaleceń</w:t>
      </w:r>
      <w:r w:rsidR="007B5069"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  <w:r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odnoszących się do wszystkich etapów kształcenia zawodowego, od jego planowania, przez sam tok nauki, po ocenę wyników i standardów egzaminowania.</w:t>
      </w:r>
    </w:p>
    <w:p w14:paraId="5CFBBCE0" w14:textId="5DD4892A" w:rsidR="001D0E8E" w:rsidRPr="00D21B6F" w:rsidRDefault="00BA1E26" w:rsidP="001D0E8E">
      <w:pPr>
        <w:pStyle w:val="a711Textbulletlvl1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Projekt </w:t>
      </w:r>
      <w:proofErr w:type="spellStart"/>
      <w:r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Europass</w:t>
      </w:r>
      <w:proofErr w:type="spellEnd"/>
      <w:r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– umożliwia stworzenie uniwersalnych standardów czytelnego prezentowania kompetencji i umiejętności zawodowych, m.in. przez wprowadzenie</w:t>
      </w:r>
      <w:r w:rsid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  <w:r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i</w:t>
      </w:r>
      <w:r w:rsidR="007B5069"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 </w:t>
      </w:r>
      <w:r w:rsidRPr="00D21B6F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promocję wzorów dokumentów: Curriculum Vitae, Paszportu Językowego czy Suplementów do Dyplomów.</w:t>
      </w:r>
    </w:p>
    <w:p w14:paraId="0179C5CC" w14:textId="4FE7B1C7" w:rsidR="001D0E8E" w:rsidRPr="00D21B6F" w:rsidRDefault="001D0E8E" w:rsidP="001A6A19">
      <w:pPr>
        <w:pStyle w:val="Nagwek2"/>
        <w:rPr>
          <w:rFonts w:eastAsia="Times New Roman"/>
          <w:lang w:val="pl-PL" w:eastAsia="pl-PL"/>
        </w:rPr>
      </w:pPr>
      <w:r w:rsidRPr="00D21B6F">
        <w:rPr>
          <w:rFonts w:eastAsia="Times New Roman"/>
          <w:lang w:val="pl-PL" w:eastAsia="pl-PL"/>
        </w:rPr>
        <w:t>II</w:t>
      </w:r>
    </w:p>
    <w:p w14:paraId="3E1F4FCA" w14:textId="77777777" w:rsidR="001D0E8E" w:rsidRPr="001A6A19" w:rsidRDefault="001D0E8E" w:rsidP="001A6A19">
      <w:pPr>
        <w:pStyle w:val="Nagwek2"/>
      </w:pPr>
      <w:proofErr w:type="spellStart"/>
      <w:r w:rsidRPr="001A6A19">
        <w:t>Rola</w:t>
      </w:r>
      <w:proofErr w:type="spellEnd"/>
      <w:r w:rsidRPr="001A6A19">
        <w:t xml:space="preserve"> </w:t>
      </w:r>
      <w:proofErr w:type="spellStart"/>
      <w:r w:rsidRPr="001A6A19">
        <w:t>szkoły</w:t>
      </w:r>
      <w:proofErr w:type="spellEnd"/>
      <w:r w:rsidRPr="001A6A19">
        <w:t xml:space="preserve"> w </w:t>
      </w:r>
      <w:proofErr w:type="spellStart"/>
      <w:r w:rsidRPr="001A6A19">
        <w:t>rozwijaniu</w:t>
      </w:r>
      <w:proofErr w:type="spellEnd"/>
      <w:r w:rsidRPr="001A6A19">
        <w:t xml:space="preserve"> </w:t>
      </w:r>
      <w:proofErr w:type="spellStart"/>
      <w:r w:rsidRPr="001A6A19">
        <w:t>kreatywności</w:t>
      </w:r>
      <w:proofErr w:type="spellEnd"/>
    </w:p>
    <w:p w14:paraId="069C09EB" w14:textId="41A4920E" w:rsidR="001D0E8E" w:rsidRPr="00D21B6F" w:rsidRDefault="001A6A19" w:rsidP="006E63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val="pl-PL"/>
        </w:rPr>
      </w:pPr>
      <w:r>
        <w:rPr>
          <w:rFonts w:ascii="Times New Roman" w:eastAsiaTheme="minorHAnsi" w:hAnsi="Times New Roman"/>
          <w:lang w:val="pl-PL"/>
        </w:rPr>
        <w:t xml:space="preserve">(…) </w:t>
      </w:r>
      <w:r w:rsidR="001D0E8E" w:rsidRPr="00D21B6F">
        <w:rPr>
          <w:rFonts w:ascii="Times New Roman" w:eastAsiaTheme="minorHAnsi" w:hAnsi="Times New Roman"/>
          <w:lang w:val="pl-PL"/>
        </w:rPr>
        <w:t>Skoro ludzie różnią się między sobą pod względem natężenia cech związanych z kreatywnością, to warto zaznaczyć, że właśnie w szkole występują idealne warunki, aby kreatywność konkretnych uczniów odkrywać i rozwijać. Jednak rozwijanie kreatywności wymaga szczególnego podejścia do realizacji podstawowego zadania szkoły, jakim jest przygotowanie uczniów do życia w otaczającym świecie. Jak pokazuje raport z badań zamówionych przez Ministerstwo Przedsiębiorczości i</w:t>
      </w:r>
      <w:r w:rsidR="00054745">
        <w:rPr>
          <w:rFonts w:ascii="Times New Roman" w:eastAsiaTheme="minorHAnsi" w:hAnsi="Times New Roman"/>
          <w:lang w:val="pl-PL"/>
        </w:rPr>
        <w:t> </w:t>
      </w:r>
      <w:r w:rsidR="001D0E8E" w:rsidRPr="00D21B6F">
        <w:rPr>
          <w:rFonts w:ascii="Times New Roman" w:eastAsiaTheme="minorHAnsi" w:hAnsi="Times New Roman"/>
          <w:lang w:val="pl-PL"/>
        </w:rPr>
        <w:t>Technologii, polska szkoła nie rozwija kreatywności uczniów, czemu na przeszkodzie stoi głównie powierzchowne uczenie się, polegające na pamięciowym przyswajaniu dużych partii materiału, podział na przedmioty, faworyzowanie w szkole uczniów zdyscyplinowanych i potulnych oraz zabijanie spontaniczności w działaniu (</w:t>
      </w:r>
      <w:proofErr w:type="spellStart"/>
      <w:r w:rsidR="001D0E8E" w:rsidRPr="00D21B6F">
        <w:rPr>
          <w:rFonts w:ascii="Times New Roman" w:eastAsiaTheme="minorHAnsi" w:hAnsi="Times New Roman"/>
          <w:lang w:val="pl-PL"/>
        </w:rPr>
        <w:t>Fazlagić</w:t>
      </w:r>
      <w:proofErr w:type="spellEnd"/>
      <w:r w:rsidR="001D0E8E" w:rsidRPr="00D21B6F">
        <w:rPr>
          <w:rFonts w:ascii="Times New Roman" w:eastAsiaTheme="minorHAnsi" w:hAnsi="Times New Roman"/>
          <w:lang w:val="pl-PL"/>
        </w:rPr>
        <w:t xml:space="preserve"> 2018a). Ogólnie bariery utrudniające w szkole rozwijanie kreatywności uczniów można podzielić na związane z tradycyjnym postrzeganiem roli szkoły oraz trudności realizacyjne (czas, kompetencje i motywacja nauczycieli, warunki materialne w</w:t>
      </w:r>
      <w:r w:rsidR="00054745">
        <w:rPr>
          <w:rFonts w:ascii="Times New Roman" w:eastAsiaTheme="minorHAnsi" w:hAnsi="Times New Roman"/>
          <w:lang w:val="pl-PL"/>
        </w:rPr>
        <w:t> </w:t>
      </w:r>
      <w:r w:rsidR="001D0E8E" w:rsidRPr="00D21B6F">
        <w:rPr>
          <w:rFonts w:ascii="Times New Roman" w:eastAsiaTheme="minorHAnsi" w:hAnsi="Times New Roman"/>
          <w:lang w:val="pl-PL"/>
        </w:rPr>
        <w:t xml:space="preserve">szkole). Warto jednak zauważyć, że szkoły, a zwłaszcza niektórzy nauczyciele, w ostatnich dekadach podejmują też wysiłki zmierzające do tworzenia klimatu dla rozwoju kreatywności uczniów. Wydaje się, że rozwiązanie zasygnalizowanego problemu w całej jego złożoności lepiej jednak pozostawić specjalistom, tzn. władzom oświatowym i nauczycielom posiadającym w tym zakresie znaczne osiągnięcia. Przydatne mogą okazać się rekomendacje przedstawione w raporcie </w:t>
      </w:r>
      <w:r w:rsidR="001D0E8E" w:rsidRPr="00D21B6F">
        <w:rPr>
          <w:rFonts w:ascii="Times New Roman" w:eastAsiaTheme="minorHAnsi" w:hAnsi="Times New Roman"/>
          <w:i/>
          <w:iCs/>
          <w:lang w:val="pl-PL"/>
        </w:rPr>
        <w:t>Szkoła dla innowatora</w:t>
      </w:r>
      <w:r w:rsidR="001D0E8E" w:rsidRPr="00D21B6F">
        <w:rPr>
          <w:rFonts w:ascii="Times New Roman" w:eastAsiaTheme="minorHAnsi" w:hAnsi="Times New Roman"/>
          <w:lang w:val="pl-PL"/>
        </w:rPr>
        <w:t xml:space="preserve">. </w:t>
      </w:r>
      <w:r w:rsidR="001D0E8E" w:rsidRPr="00D21B6F">
        <w:rPr>
          <w:rFonts w:ascii="Times New Roman" w:eastAsiaTheme="minorHAnsi" w:hAnsi="Times New Roman"/>
          <w:i/>
          <w:iCs/>
          <w:lang w:val="pl-PL"/>
        </w:rPr>
        <w:t>Kształtowanie kompetencji</w:t>
      </w:r>
      <w:r w:rsidR="001D0E8E" w:rsidRPr="00D21B6F">
        <w:rPr>
          <w:rFonts w:ascii="Times New Roman" w:eastAsiaTheme="minorHAnsi" w:hAnsi="Times New Roman"/>
          <w:lang w:val="pl-PL"/>
        </w:rPr>
        <w:t xml:space="preserve"> </w:t>
      </w:r>
      <w:r w:rsidR="001D0E8E" w:rsidRPr="00D21B6F">
        <w:rPr>
          <w:rFonts w:ascii="Times New Roman" w:eastAsiaTheme="minorHAnsi" w:hAnsi="Times New Roman"/>
          <w:i/>
          <w:iCs/>
          <w:lang w:val="pl-PL"/>
        </w:rPr>
        <w:t xml:space="preserve">proinnowacyjnych. </w:t>
      </w:r>
      <w:r w:rsidR="001D0E8E" w:rsidRPr="00D21B6F">
        <w:rPr>
          <w:rFonts w:ascii="Times New Roman" w:eastAsiaTheme="minorHAnsi" w:hAnsi="Times New Roman"/>
          <w:lang w:val="pl-PL"/>
        </w:rPr>
        <w:t>Związek kreatywności ze sposobem uczenia się i nauczania jest oczywisty ze względu na sposób myślenia. Występuje wiele sposobów</w:t>
      </w:r>
    </w:p>
    <w:p w14:paraId="44368101" w14:textId="65513457" w:rsidR="001D0E8E" w:rsidRPr="00D21B6F" w:rsidRDefault="001D0E8E" w:rsidP="006E63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val="pl-PL"/>
        </w:rPr>
      </w:pPr>
      <w:r w:rsidRPr="00D21B6F">
        <w:rPr>
          <w:rFonts w:ascii="Times New Roman" w:eastAsiaTheme="minorHAnsi" w:hAnsi="Times New Roman"/>
          <w:lang w:val="pl-PL"/>
        </w:rPr>
        <w:t>(…)</w:t>
      </w:r>
    </w:p>
    <w:p w14:paraId="7ABB32BA" w14:textId="1CA55217" w:rsidR="001D0E8E" w:rsidRPr="00D21B6F" w:rsidRDefault="001D0E8E" w:rsidP="006E63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val="pl-PL"/>
        </w:rPr>
      </w:pPr>
      <w:r w:rsidRPr="00D21B6F">
        <w:rPr>
          <w:rFonts w:ascii="Times New Roman" w:eastAsiaTheme="minorHAnsi" w:hAnsi="Times New Roman"/>
          <w:lang w:val="pl-PL"/>
        </w:rPr>
        <w:t xml:space="preserve">Badania nad procesem uczenia się i występującymi kombinacjami sposobów uczenia się pozwoliły na wyodrębnienie czterech </w:t>
      </w:r>
      <w:r w:rsidRPr="00D21B6F">
        <w:rPr>
          <w:rFonts w:ascii="Times New Roman" w:eastAsiaTheme="minorHAnsi" w:hAnsi="Times New Roman"/>
          <w:b/>
          <w:bCs/>
          <w:lang w:val="pl-PL"/>
        </w:rPr>
        <w:t>stylów</w:t>
      </w:r>
      <w:r w:rsidRPr="00D21B6F">
        <w:rPr>
          <w:rFonts w:ascii="Times New Roman" w:eastAsiaTheme="minorHAnsi" w:hAnsi="Times New Roman"/>
          <w:lang w:val="pl-PL"/>
        </w:rPr>
        <w:t xml:space="preserve"> </w:t>
      </w:r>
      <w:r w:rsidRPr="00D21B6F">
        <w:rPr>
          <w:rFonts w:ascii="Times New Roman" w:eastAsiaTheme="minorHAnsi" w:hAnsi="Times New Roman"/>
          <w:b/>
          <w:bCs/>
          <w:lang w:val="pl-PL"/>
        </w:rPr>
        <w:t>uczenia się</w:t>
      </w:r>
      <w:r w:rsidRPr="00D21B6F">
        <w:rPr>
          <w:rFonts w:ascii="Times New Roman" w:eastAsiaTheme="minorHAnsi" w:hAnsi="Times New Roman"/>
          <w:lang w:val="pl-PL"/>
        </w:rPr>
        <w:t>:</w:t>
      </w:r>
    </w:p>
    <w:p w14:paraId="6D6A11F3" w14:textId="16FB59B9" w:rsidR="001D0E8E" w:rsidRPr="00D21B6F" w:rsidRDefault="001D0E8E" w:rsidP="006E63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val="pl-PL"/>
        </w:rPr>
      </w:pPr>
      <w:r w:rsidRPr="00D21B6F">
        <w:rPr>
          <w:rFonts w:ascii="Times New Roman" w:eastAsiaTheme="minorHAnsi" w:hAnsi="Times New Roman"/>
          <w:lang w:val="pl-PL"/>
        </w:rPr>
        <w:lastRenderedPageBreak/>
        <w:t xml:space="preserve">Styl </w:t>
      </w:r>
      <w:proofErr w:type="spellStart"/>
      <w:r w:rsidRPr="00D21B6F">
        <w:rPr>
          <w:rFonts w:ascii="Times New Roman" w:eastAsiaTheme="minorHAnsi" w:hAnsi="Times New Roman"/>
          <w:b/>
          <w:bCs/>
          <w:lang w:val="pl-PL"/>
        </w:rPr>
        <w:t>konwergencyjny</w:t>
      </w:r>
      <w:proofErr w:type="spellEnd"/>
      <w:r w:rsidRPr="00D21B6F">
        <w:rPr>
          <w:rFonts w:ascii="Times New Roman" w:eastAsiaTheme="minorHAnsi" w:hAnsi="Times New Roman"/>
          <w:b/>
          <w:bCs/>
          <w:lang w:val="pl-PL"/>
        </w:rPr>
        <w:t xml:space="preserve"> </w:t>
      </w:r>
      <w:r w:rsidRPr="00D21B6F">
        <w:rPr>
          <w:rFonts w:ascii="Times New Roman" w:eastAsiaTheme="minorHAnsi" w:hAnsi="Times New Roman"/>
          <w:lang w:val="pl-PL"/>
        </w:rPr>
        <w:t>odznacza się wysoką umiejętnością praktycznego stosowania wiedzy teoretycznej. Wymaga więc posiadania zdolności do abstrakcyjnego myślenia i aktywnego eksperymentowania</w:t>
      </w:r>
      <w:r w:rsidR="00D21B6F" w:rsidRPr="00D21B6F">
        <w:rPr>
          <w:rFonts w:ascii="Times New Roman" w:eastAsiaTheme="minorHAnsi" w:hAnsi="Times New Roman"/>
          <w:lang w:val="pl-PL"/>
        </w:rPr>
        <w:t>;</w:t>
      </w:r>
    </w:p>
    <w:p w14:paraId="075ED7F4" w14:textId="1FDE3E05" w:rsidR="00D21B6F" w:rsidRPr="00D21B6F" w:rsidRDefault="001D0E8E" w:rsidP="006E63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val="pl-PL"/>
        </w:rPr>
      </w:pPr>
      <w:r w:rsidRPr="00D21B6F">
        <w:rPr>
          <w:rFonts w:ascii="Times New Roman" w:eastAsiaTheme="minorHAnsi" w:hAnsi="Times New Roman"/>
          <w:lang w:val="pl-PL"/>
        </w:rPr>
        <w:t xml:space="preserve">Styl </w:t>
      </w:r>
      <w:proofErr w:type="spellStart"/>
      <w:r w:rsidRPr="00D21B6F">
        <w:rPr>
          <w:rFonts w:ascii="Times New Roman" w:eastAsiaTheme="minorHAnsi" w:hAnsi="Times New Roman"/>
          <w:b/>
          <w:bCs/>
          <w:lang w:val="pl-PL"/>
        </w:rPr>
        <w:t>dywergencyjny</w:t>
      </w:r>
      <w:proofErr w:type="spellEnd"/>
      <w:r w:rsidRPr="00D21B6F">
        <w:rPr>
          <w:rFonts w:ascii="Times New Roman" w:eastAsiaTheme="minorHAnsi" w:hAnsi="Times New Roman"/>
          <w:b/>
          <w:bCs/>
          <w:lang w:val="pl-PL"/>
        </w:rPr>
        <w:t xml:space="preserve"> </w:t>
      </w:r>
      <w:r w:rsidRPr="00D21B6F">
        <w:rPr>
          <w:rFonts w:ascii="Times New Roman" w:eastAsiaTheme="minorHAnsi" w:hAnsi="Times New Roman"/>
          <w:lang w:val="pl-PL"/>
        </w:rPr>
        <w:t>opiera się bardziej na wykorzystaniu konkretnego przeżycia i</w:t>
      </w:r>
      <w:r w:rsidR="00054745">
        <w:rPr>
          <w:rFonts w:ascii="Times New Roman" w:eastAsiaTheme="minorHAnsi" w:hAnsi="Times New Roman"/>
          <w:lang w:val="pl-PL"/>
        </w:rPr>
        <w:t> </w:t>
      </w:r>
      <w:r w:rsidRPr="00D21B6F">
        <w:rPr>
          <w:rFonts w:ascii="Times New Roman" w:eastAsiaTheme="minorHAnsi" w:hAnsi="Times New Roman"/>
          <w:lang w:val="pl-PL"/>
        </w:rPr>
        <w:t>refleksyjnej obserwacji. Wymaga wyobraźni, postrzegania danego problemu z różnych perspektyw, zaangażowania emocjonalnego</w:t>
      </w:r>
      <w:r w:rsidR="00D21B6F" w:rsidRPr="00D21B6F">
        <w:rPr>
          <w:rFonts w:ascii="Times New Roman" w:eastAsiaTheme="minorHAnsi" w:hAnsi="Times New Roman"/>
          <w:lang w:val="pl-PL"/>
        </w:rPr>
        <w:t>;</w:t>
      </w:r>
    </w:p>
    <w:p w14:paraId="0C3DABB2" w14:textId="29BEF9BC" w:rsidR="00D21B6F" w:rsidRPr="00D21B6F" w:rsidRDefault="00D21B6F" w:rsidP="006E63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val="pl-PL"/>
        </w:rPr>
      </w:pPr>
      <w:r w:rsidRPr="00D21B6F">
        <w:rPr>
          <w:rFonts w:ascii="Times New Roman" w:eastAsiaTheme="minorHAnsi" w:hAnsi="Times New Roman"/>
          <w:lang w:val="pl-PL"/>
        </w:rPr>
        <w:t xml:space="preserve">Styl </w:t>
      </w:r>
      <w:r w:rsidRPr="00D21B6F">
        <w:rPr>
          <w:rFonts w:ascii="Times New Roman" w:eastAsiaTheme="minorHAnsi" w:hAnsi="Times New Roman"/>
          <w:b/>
          <w:bCs/>
          <w:lang w:val="pl-PL"/>
        </w:rPr>
        <w:t xml:space="preserve">asymilacyjny </w:t>
      </w:r>
      <w:r w:rsidRPr="00D21B6F">
        <w:rPr>
          <w:rFonts w:ascii="Times New Roman" w:eastAsiaTheme="minorHAnsi" w:hAnsi="Times New Roman"/>
          <w:lang w:val="pl-PL"/>
        </w:rPr>
        <w:t>opiera się na dominacji abstrakcyjnego uogólniania i refleksyjnej obserwacji. Styl ten prowadzi najczęściej do logicznego i precyzyjnego porządkowania zagadnień oraz tworzenia modeli i teorii;</w:t>
      </w:r>
    </w:p>
    <w:p w14:paraId="7FDF39CE" w14:textId="6839079F" w:rsidR="001D0E8E" w:rsidRPr="00D21B6F" w:rsidRDefault="00D21B6F" w:rsidP="006E63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val="pl-PL"/>
        </w:rPr>
      </w:pPr>
      <w:r w:rsidRPr="00D21B6F">
        <w:rPr>
          <w:rFonts w:ascii="Times New Roman" w:eastAsiaTheme="minorHAnsi" w:hAnsi="Times New Roman"/>
          <w:lang w:val="pl-PL"/>
        </w:rPr>
        <w:t xml:space="preserve">Styl </w:t>
      </w:r>
      <w:r w:rsidRPr="00D21B6F">
        <w:rPr>
          <w:rFonts w:ascii="Times New Roman" w:eastAsiaTheme="minorHAnsi" w:hAnsi="Times New Roman"/>
          <w:b/>
          <w:bCs/>
          <w:lang w:val="pl-PL"/>
        </w:rPr>
        <w:t>akomodacyjny</w:t>
      </w:r>
      <w:r w:rsidRPr="00D21B6F">
        <w:rPr>
          <w:rFonts w:ascii="Times New Roman" w:eastAsiaTheme="minorHAnsi" w:hAnsi="Times New Roman"/>
          <w:lang w:val="pl-PL"/>
        </w:rPr>
        <w:t>, w którym dominuje aktywne eksperymentowanie i konkretne przeżycie, cechuje się zaangażowaniem we wdrażanie planów i poszukiwanie nowych doświadczeń.</w:t>
      </w:r>
    </w:p>
    <w:sectPr w:rsidR="001D0E8E" w:rsidRPr="00D21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C6C8" w14:textId="77777777" w:rsidR="001D5C47" w:rsidRDefault="001D5C47" w:rsidP="001D5C47">
      <w:pPr>
        <w:spacing w:after="0" w:line="240" w:lineRule="auto"/>
      </w:pPr>
      <w:r>
        <w:separator/>
      </w:r>
    </w:p>
  </w:endnote>
  <w:endnote w:type="continuationSeparator" w:id="0">
    <w:p w14:paraId="4D216E5B" w14:textId="77777777" w:rsidR="001D5C47" w:rsidRDefault="001D5C47" w:rsidP="001D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02BD" w14:textId="77777777" w:rsidR="001D5C47" w:rsidRDefault="001D5C47" w:rsidP="001D5C47">
      <w:pPr>
        <w:spacing w:after="0" w:line="240" w:lineRule="auto"/>
      </w:pPr>
      <w:r>
        <w:separator/>
      </w:r>
    </w:p>
  </w:footnote>
  <w:footnote w:type="continuationSeparator" w:id="0">
    <w:p w14:paraId="0701906F" w14:textId="77777777" w:rsidR="001D5C47" w:rsidRDefault="001D5C47" w:rsidP="001D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A441" w14:textId="0EBE32F7" w:rsidR="00190D7B" w:rsidRPr="00190D7B" w:rsidRDefault="00190D7B">
    <w:pPr>
      <w:pStyle w:val="Nagwek"/>
      <w:rPr>
        <w:rFonts w:ascii="Times New Roman" w:hAnsi="Times New Roman"/>
      </w:rPr>
    </w:pPr>
    <w:proofErr w:type="spellStart"/>
    <w:r w:rsidRPr="00190D7B">
      <w:rPr>
        <w:rFonts w:ascii="Times New Roman" w:hAnsi="Times New Roman"/>
      </w:rPr>
      <w:t>Załącznik</w:t>
    </w:r>
    <w:proofErr w:type="spellEnd"/>
    <w:r w:rsidRPr="00190D7B">
      <w:rPr>
        <w:rFonts w:ascii="Times New Roman" w:hAnsi="Times New Roman"/>
      </w:rPr>
      <w:t xml:space="preserve"> nr 6 do </w:t>
    </w:r>
    <w:proofErr w:type="spellStart"/>
    <w:r w:rsidRPr="00190D7B">
      <w:rPr>
        <w:rFonts w:ascii="Times New Roman" w:hAnsi="Times New Roman"/>
      </w:rPr>
      <w:t>zapytania</w:t>
    </w:r>
    <w:proofErr w:type="spellEnd"/>
    <w:r w:rsidRPr="00190D7B">
      <w:rPr>
        <w:rFonts w:ascii="Times New Roman" w:hAnsi="Times New Roman"/>
      </w:rPr>
      <w:t xml:space="preserve"> </w:t>
    </w:r>
    <w:proofErr w:type="spellStart"/>
    <w:r w:rsidRPr="00190D7B">
      <w:rPr>
        <w:rFonts w:ascii="Times New Roman" w:hAnsi="Times New Roman"/>
      </w:rPr>
      <w:t>ofertowego</w:t>
    </w:r>
    <w:proofErr w:type="spellEnd"/>
    <w:r w:rsidRPr="00190D7B">
      <w:rPr>
        <w:rFonts w:ascii="Times New Roman" w:hAnsi="Times New Roman"/>
      </w:rPr>
      <w:t xml:space="preserve"> – </w:t>
    </w:r>
    <w:proofErr w:type="spellStart"/>
    <w:r w:rsidRPr="00190D7B">
      <w:rPr>
        <w:rFonts w:ascii="Times New Roman" w:hAnsi="Times New Roman"/>
      </w:rPr>
      <w:t>Zadanie</w:t>
    </w:r>
    <w:proofErr w:type="spellEnd"/>
    <w:r w:rsidRPr="00190D7B">
      <w:rPr>
        <w:rFonts w:ascii="Times New Roman" w:hAnsi="Times New Roman"/>
      </w:rPr>
      <w:t xml:space="preserve"> </w:t>
    </w:r>
    <w:proofErr w:type="spellStart"/>
    <w:r w:rsidRPr="00190D7B">
      <w:rPr>
        <w:rFonts w:ascii="Times New Roman" w:hAnsi="Times New Roman"/>
      </w:rPr>
      <w:t>dla</w:t>
    </w:r>
    <w:proofErr w:type="spellEnd"/>
    <w:r w:rsidRPr="00190D7B">
      <w:rPr>
        <w:rFonts w:ascii="Times New Roman" w:hAnsi="Times New Roman"/>
      </w:rPr>
      <w:t xml:space="preserve"> </w:t>
    </w:r>
    <w:proofErr w:type="spellStart"/>
    <w:r w:rsidRPr="00190D7B">
      <w:rPr>
        <w:rFonts w:ascii="Times New Roman" w:hAnsi="Times New Roman"/>
      </w:rPr>
      <w:t>Oferentów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432"/>
    <w:multiLevelType w:val="multilevel"/>
    <w:tmpl w:val="56C06BBC"/>
    <w:lvl w:ilvl="0">
      <w:start w:val="1"/>
      <w:numFmt w:val="bullet"/>
      <w:pStyle w:val="a711Textbulletlv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137525F"/>
    <w:multiLevelType w:val="hybridMultilevel"/>
    <w:tmpl w:val="0FEC2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422EB"/>
    <w:multiLevelType w:val="hybridMultilevel"/>
    <w:tmpl w:val="029E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7D36"/>
    <w:multiLevelType w:val="hybridMultilevel"/>
    <w:tmpl w:val="9FE23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7CD"/>
    <w:rsid w:val="00054745"/>
    <w:rsid w:val="00190D7B"/>
    <w:rsid w:val="001A6A19"/>
    <w:rsid w:val="001D0E8E"/>
    <w:rsid w:val="001D5C47"/>
    <w:rsid w:val="00326C7E"/>
    <w:rsid w:val="006E63D3"/>
    <w:rsid w:val="007B5069"/>
    <w:rsid w:val="008369B2"/>
    <w:rsid w:val="009F1C67"/>
    <w:rsid w:val="00B52BBA"/>
    <w:rsid w:val="00BA1E26"/>
    <w:rsid w:val="00BE28D7"/>
    <w:rsid w:val="00CF1A72"/>
    <w:rsid w:val="00D21B6F"/>
    <w:rsid w:val="00E707CD"/>
    <w:rsid w:val="00ED72E7"/>
    <w:rsid w:val="00F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1EFD"/>
  <w15:docId w15:val="{6AB7540D-64D4-445F-A43B-DA3AC21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CD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11Textbulletlvl1">
    <w:name w:val="_a7_11_Text_bullet_lvl_1"/>
    <w:basedOn w:val="Normalny"/>
    <w:rsid w:val="00E707CD"/>
    <w:pPr>
      <w:numPr>
        <w:numId w:val="1"/>
      </w:numPr>
      <w:tabs>
        <w:tab w:val="left" w:pos="426"/>
      </w:tabs>
      <w:spacing w:before="120" w:after="0" w:line="300" w:lineRule="auto"/>
      <w:jc w:val="both"/>
    </w:pPr>
    <w:rPr>
      <w:rFonts w:ascii="Arial" w:hAnsi="Arial" w:cs="Arial"/>
      <w:color w:val="1F497D"/>
      <w:sz w:val="20"/>
      <w:szCs w:val="20"/>
      <w:lang w:val="en-US"/>
    </w:rPr>
  </w:style>
  <w:style w:type="paragraph" w:customStyle="1" w:styleId="a70H2">
    <w:name w:val="_a7_0_H2"/>
    <w:basedOn w:val="Nagwek2"/>
    <w:rsid w:val="001D5C47"/>
    <w:pPr>
      <w:keepLines w:val="0"/>
      <w:spacing w:before="360" w:after="160" w:line="240" w:lineRule="auto"/>
      <w:jc w:val="both"/>
    </w:pPr>
    <w:rPr>
      <w:rFonts w:ascii="Arial" w:eastAsia="Calibri" w:hAnsi="Arial" w:cs="Arial"/>
      <w:color w:val="C00000"/>
      <w:sz w:val="24"/>
      <w:szCs w:val="24"/>
    </w:rPr>
  </w:style>
  <w:style w:type="paragraph" w:customStyle="1" w:styleId="a71Textpara">
    <w:name w:val="_a7_1_Text_para"/>
    <w:link w:val="a71TextparaChar"/>
    <w:rsid w:val="001D5C47"/>
    <w:pPr>
      <w:tabs>
        <w:tab w:val="left" w:pos="4253"/>
      </w:tabs>
      <w:spacing w:before="160" w:after="0" w:line="300" w:lineRule="auto"/>
      <w:jc w:val="both"/>
    </w:pPr>
    <w:rPr>
      <w:rFonts w:ascii="Arial" w:eastAsia="Calibri" w:hAnsi="Arial" w:cs="Arial"/>
      <w:color w:val="1F497D"/>
      <w:sz w:val="20"/>
      <w:szCs w:val="20"/>
      <w:lang w:val="en-GB"/>
    </w:rPr>
  </w:style>
  <w:style w:type="character" w:customStyle="1" w:styleId="a71TextparaChar">
    <w:name w:val="_a7_1_Text_para Char"/>
    <w:link w:val="a71Textpara"/>
    <w:locked/>
    <w:rsid w:val="001D5C47"/>
    <w:rPr>
      <w:rFonts w:ascii="Arial" w:eastAsia="Calibri" w:hAnsi="Arial" w:cs="Arial"/>
      <w:color w:val="1F497D"/>
      <w:sz w:val="20"/>
      <w:szCs w:val="20"/>
      <w:lang w:val="en-GB"/>
    </w:rPr>
  </w:style>
  <w:style w:type="paragraph" w:styleId="Tekstprzypisudolnego">
    <w:name w:val="footnote text"/>
    <w:basedOn w:val="Normalny"/>
    <w:next w:val="Normalny"/>
    <w:link w:val="TekstprzypisudolnegoZnak"/>
    <w:rsid w:val="001D5C47"/>
    <w:pPr>
      <w:widowControl w:val="0"/>
      <w:tabs>
        <w:tab w:val="left" w:pos="1985"/>
        <w:tab w:val="left" w:pos="5103"/>
      </w:tabs>
      <w:spacing w:after="60" w:line="240" w:lineRule="auto"/>
      <w:ind w:left="357" w:hanging="357"/>
      <w:jc w:val="both"/>
    </w:pPr>
    <w:rPr>
      <w:rFonts w:ascii="Arial" w:eastAsia="Times New Roman" w:hAnsi="Arial" w:cs="Arial"/>
      <w:snapToGrid w:val="0"/>
      <w:color w:val="1F497D"/>
      <w:sz w:val="16"/>
      <w:szCs w:val="16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5C47"/>
    <w:rPr>
      <w:rFonts w:ascii="Arial" w:eastAsia="Times New Roman" w:hAnsi="Arial" w:cs="Arial"/>
      <w:snapToGrid w:val="0"/>
      <w:color w:val="1F497D"/>
      <w:sz w:val="16"/>
      <w:szCs w:val="16"/>
      <w:lang w:val="en-US"/>
    </w:rPr>
  </w:style>
  <w:style w:type="character" w:styleId="Odwoanieprzypisudolnego">
    <w:name w:val="footnote reference"/>
    <w:aliases w:val="Footnote Reference Number,Footnote symbol,stylish,Footnote Refernece,BVI fnr,Fußnotenzeichen_Raxen,callout,EN Footnote Reference,Times 10 Point,Exposant 3 Point,Footnote reference number,note TESI,Footnote Reference Superscrip"/>
    <w:uiPriority w:val="99"/>
    <w:qFormat/>
    <w:rsid w:val="001D5C4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5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CF1A72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CF1A72"/>
    <w:rPr>
      <w:b/>
      <w:bCs/>
      <w:smallCaps/>
      <w:color w:val="4F81BD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CF1A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markedcontent">
    <w:name w:val="markedcontent"/>
    <w:basedOn w:val="Domylnaczcionkaakapitu"/>
    <w:rsid w:val="00BA1E26"/>
  </w:style>
  <w:style w:type="paragraph" w:styleId="Nagwek">
    <w:name w:val="header"/>
    <w:basedOn w:val="Normalny"/>
    <w:link w:val="NagwekZnak"/>
    <w:uiPriority w:val="99"/>
    <w:unhideWhenUsed/>
    <w:rsid w:val="0019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7B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9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7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mfells</dc:creator>
  <cp:lastModifiedBy>Dorota Zajączkowska</cp:lastModifiedBy>
  <cp:revision>10</cp:revision>
  <dcterms:created xsi:type="dcterms:W3CDTF">2021-11-05T11:01:00Z</dcterms:created>
  <dcterms:modified xsi:type="dcterms:W3CDTF">2021-11-09T10:38:00Z</dcterms:modified>
</cp:coreProperties>
</file>