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C069F5" w:rsidRPr="00C069F5">
        <w:rPr>
          <w:rFonts w:ascii="Calibri" w:hAnsi="Calibri"/>
          <w:b/>
          <w:bCs/>
          <w:sz w:val="22"/>
          <w:szCs w:val="22"/>
        </w:rPr>
        <w:t>wsparcia związanego z obsługą Fundacji oraz pomocą archiwizacyjną.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C069F5" w:rsidRPr="00C069F5">
        <w:rPr>
          <w:rFonts w:ascii="Calibri" w:hAnsi="Calibri"/>
          <w:b/>
          <w:bCs/>
          <w:sz w:val="22"/>
          <w:szCs w:val="22"/>
        </w:rPr>
        <w:t>05 lipca 2021 r. do 30 września 2021 r.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60065"/>
    <w:rsid w:val="003F28AA"/>
    <w:rsid w:val="004877B5"/>
    <w:rsid w:val="0053330D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966479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10</cp:revision>
  <cp:lastPrinted>2021-06-28T09:04:00Z</cp:lastPrinted>
  <dcterms:created xsi:type="dcterms:W3CDTF">2019-06-28T11:20:00Z</dcterms:created>
  <dcterms:modified xsi:type="dcterms:W3CDTF">2021-06-28T12:37:00Z</dcterms:modified>
</cp:coreProperties>
</file>