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622" w:rsidRDefault="00CD305F">
      <w:pPr>
        <w:widowControl w:val="0"/>
        <w:spacing w:before="120" w:after="0"/>
        <w:jc w:val="both"/>
        <w:textAlignment w:val="baseline"/>
        <w:rPr>
          <w:rFonts w:eastAsia="Times New Roman" w:cs="Calibri"/>
          <w:b/>
          <w:smallCaps/>
          <w:sz w:val="24"/>
          <w:szCs w:val="24"/>
          <w:lang w:eastAsia="pl-PL"/>
        </w:rPr>
      </w:pPr>
      <w:r>
        <w:rPr>
          <w:rFonts w:eastAsia="Times New Roman" w:cs="Calibri"/>
          <w:b/>
          <w:smallCaps/>
          <w:sz w:val="24"/>
          <w:szCs w:val="24"/>
          <w:lang w:eastAsia="pl-PL"/>
        </w:rPr>
        <w:t>OPIS PRZEDMIOTU ZAMÓWIENIA</w:t>
      </w:r>
    </w:p>
    <w:p w:rsidR="00885622" w:rsidRDefault="00885622">
      <w:pPr>
        <w:widowControl w:val="0"/>
        <w:spacing w:before="57" w:after="57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</w:p>
    <w:p w:rsidR="00885622" w:rsidRDefault="00CD305F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Przedmiotem zamówienia jest</w:t>
      </w:r>
      <w:r>
        <w:t xml:space="preserve"> </w:t>
      </w:r>
      <w:r>
        <w:rPr>
          <w:rFonts w:cs="Calibri"/>
          <w:sz w:val="24"/>
          <w:szCs w:val="24"/>
        </w:rPr>
        <w:t>świadczenie usługi weryfikacji pogłębionej dokumentacji prowadzonej przez Beneficjentów Programu Erasmus+ w Akcji 1 sektora Kształcenie i Szkolenia Zawodowe.</w:t>
      </w:r>
    </w:p>
    <w:p w:rsidR="00885622" w:rsidRDefault="00CD305F">
      <w:pPr>
        <w:widowControl w:val="0"/>
        <w:spacing w:before="120" w:after="0"/>
        <w:jc w:val="both"/>
        <w:textAlignment w:val="baseline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Przedmiot zamówienia świadczony będzie </w:t>
      </w:r>
      <w:r>
        <w:rPr>
          <w:rFonts w:cs="Calibri"/>
          <w:sz w:val="24"/>
          <w:szCs w:val="24"/>
        </w:rPr>
        <w:t>przez osobę skierowaną przez Wykonawcę do realizacji zamówienia (wskazaną przez Wykonawcę w załączniku nr do zapytania ofertowego), zwane dalej „Wykonawcą”.</w:t>
      </w:r>
    </w:p>
    <w:p w:rsidR="00885622" w:rsidRDefault="00885622">
      <w:pPr>
        <w:widowControl w:val="0"/>
        <w:spacing w:before="120" w:after="0"/>
        <w:jc w:val="both"/>
        <w:textAlignment w:val="baseline"/>
        <w:rPr>
          <w:rFonts w:cs="Calibri"/>
          <w:sz w:val="24"/>
          <w:szCs w:val="24"/>
        </w:rPr>
      </w:pPr>
    </w:p>
    <w:p w:rsidR="00885622" w:rsidRDefault="00CD305F">
      <w:pPr>
        <w:numPr>
          <w:ilvl w:val="0"/>
          <w:numId w:val="1"/>
        </w:numPr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Informacja o Zamawiającym. </w:t>
      </w:r>
    </w:p>
    <w:p w:rsidR="00885622" w:rsidRDefault="00CD305F">
      <w:pPr>
        <w:widowControl w:val="0"/>
        <w:spacing w:before="120" w:after="0" w:line="360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Projekty realizowane w Akcji 1. Mobilność edukacyjna, w  sektorze Kszt</w:t>
      </w:r>
      <w:r>
        <w:rPr>
          <w:sz w:val="24"/>
          <w:szCs w:val="24"/>
        </w:rPr>
        <w:t>ałcenie i szkolenia zawodowe, mają na celu wspieranie mobilności uczniów i absolwentów, nauczycieli praktycznej nauki zawodu, kadry zarządzającej w placówkach oświatowych i pracowników na europejskim rynku pracy oraz wdrażanie innowacyjnych rozwiązań eduka</w:t>
      </w:r>
      <w:r>
        <w:rPr>
          <w:sz w:val="24"/>
          <w:szCs w:val="24"/>
        </w:rPr>
        <w:t>cyjnych. Wspierają one rozwiązania zwiększające przejrzystość i uznawalność kwalifikacji zawodowych oraz działania wzmacniające jakość kształcenia zawodowego i ustawicznego.</w:t>
      </w:r>
    </w:p>
    <w:p w:rsidR="00885622" w:rsidRDefault="00885622">
      <w:pPr>
        <w:widowControl w:val="0"/>
        <w:spacing w:before="120" w:after="0"/>
        <w:jc w:val="both"/>
        <w:textAlignment w:val="baseline"/>
        <w:rPr>
          <w:rFonts w:cs="Calibri"/>
          <w:sz w:val="24"/>
          <w:szCs w:val="24"/>
        </w:rPr>
      </w:pPr>
    </w:p>
    <w:p w:rsidR="00885622" w:rsidRDefault="00CD305F">
      <w:pPr>
        <w:numPr>
          <w:ilvl w:val="0"/>
          <w:numId w:val="1"/>
        </w:numPr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Szczegółowy cel i przedmiot zamówienia</w:t>
      </w:r>
    </w:p>
    <w:p w:rsidR="00885622" w:rsidRDefault="00CD305F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Głównym celem zamówienia jest wybór Wykona</w:t>
      </w:r>
      <w:r>
        <w:rPr>
          <w:rFonts w:cs="Calibri"/>
          <w:sz w:val="24"/>
          <w:szCs w:val="24"/>
        </w:rPr>
        <w:t>wcy w celu weryfikacji dokumentacji projektowej 6-ciu Beneficjentów w zakresie poprawności przeprowadzenia postępowań związanych z wyborem wykonawcy usług transportowych, hotelowych oraz gastronomicznych. Weryfikacja dotyczyć będzie stosowania przez wskaza</w:t>
      </w:r>
      <w:r>
        <w:rPr>
          <w:rFonts w:cs="Calibri"/>
          <w:sz w:val="24"/>
          <w:szCs w:val="24"/>
        </w:rPr>
        <w:t xml:space="preserve">ne podmioty zasad uczciwej konkurencji i przejrzystości prowadzonych postępowań </w:t>
      </w:r>
      <w:r>
        <w:t>w zakresie wyjazdów uczniów na praktyki do Grecji</w:t>
      </w:r>
      <w:r>
        <w:rPr>
          <w:rFonts w:cs="Calibri"/>
          <w:sz w:val="24"/>
          <w:szCs w:val="24"/>
        </w:rPr>
        <w:t xml:space="preserve"> oraz stosowania ustawy Prawo Zamówień Publicznych a także wewnętrznych regulacji Beneficjentów</w:t>
      </w:r>
      <w:r>
        <w:rPr>
          <w:rFonts w:cs="Calibri"/>
          <w:sz w:val="24"/>
          <w:szCs w:val="24"/>
        </w:rPr>
        <w:t xml:space="preserve">. </w:t>
      </w:r>
    </w:p>
    <w:p w:rsidR="00885622" w:rsidRDefault="00CD305F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 trakcie realizacji Umowy zlecone zostanie weryfikacja dokumentacji dla 6</w:t>
      </w:r>
      <w:r>
        <w:rPr>
          <w:rFonts w:cs="Calibri"/>
          <w:sz w:val="24"/>
          <w:szCs w:val="24"/>
        </w:rPr>
        <w:t>-ciu podmiotów (wskazanych poniżej) będących Beneficjentami Programu Erasmus+ w Akcji 1 sektora Kształcenie i Szkolenia Zawodowe:</w:t>
      </w:r>
    </w:p>
    <w:p w:rsidR="00885622" w:rsidRDefault="00CD305F">
      <w:pPr>
        <w:pStyle w:val="Akapitzlist"/>
        <w:numPr>
          <w:ilvl w:val="0"/>
          <w:numId w:val="7"/>
        </w:numPr>
        <w:spacing w:line="276" w:lineRule="auto"/>
        <w:rPr>
          <w:rFonts w:ascii="Calibri" w:hAnsi="Calibri"/>
          <w:szCs w:val="24"/>
          <w:lang w:eastAsia="en-US"/>
        </w:rPr>
      </w:pPr>
      <w:r>
        <w:rPr>
          <w:rFonts w:ascii="Calibri" w:hAnsi="Calibri"/>
          <w:szCs w:val="24"/>
          <w:lang w:eastAsia="en-US"/>
        </w:rPr>
        <w:t xml:space="preserve"> Regionalne Centrum Edukacji Zawodowej w Biłgoraju</w:t>
      </w:r>
    </w:p>
    <w:p w:rsidR="00885622" w:rsidRDefault="00CD305F">
      <w:pPr>
        <w:pStyle w:val="Akapitzlist"/>
        <w:spacing w:line="276" w:lineRule="auto"/>
        <w:ind w:hanging="360"/>
        <w:rPr>
          <w:rFonts w:ascii="Calibri" w:hAnsi="Calibri"/>
          <w:szCs w:val="24"/>
          <w:lang w:eastAsia="en-US"/>
        </w:rPr>
      </w:pPr>
      <w:r>
        <w:rPr>
          <w:rFonts w:ascii="Calibri" w:hAnsi="Calibri"/>
          <w:szCs w:val="24"/>
          <w:lang w:eastAsia="en-US"/>
        </w:rPr>
        <w:t>2.</w:t>
      </w:r>
      <w:r>
        <w:rPr>
          <w:szCs w:val="24"/>
          <w:lang w:eastAsia="en-US"/>
        </w:rPr>
        <w:t>    </w:t>
      </w:r>
      <w:r>
        <w:rPr>
          <w:rFonts w:ascii="Calibri" w:hAnsi="Calibri"/>
          <w:szCs w:val="24"/>
          <w:lang w:eastAsia="en-US"/>
        </w:rPr>
        <w:t>ZSO Bystrzyca Kłodzka</w:t>
      </w:r>
    </w:p>
    <w:p w:rsidR="00885622" w:rsidRDefault="00CD305F">
      <w:pPr>
        <w:pStyle w:val="Akapitzlist"/>
        <w:spacing w:line="276" w:lineRule="auto"/>
        <w:ind w:hanging="360"/>
        <w:rPr>
          <w:rFonts w:ascii="Calibri" w:hAnsi="Calibri"/>
          <w:szCs w:val="24"/>
          <w:lang w:eastAsia="en-US"/>
        </w:rPr>
      </w:pPr>
      <w:r>
        <w:rPr>
          <w:rFonts w:ascii="Calibri" w:hAnsi="Calibri"/>
          <w:szCs w:val="24"/>
          <w:lang w:eastAsia="en-US"/>
        </w:rPr>
        <w:t>3</w:t>
      </w:r>
      <w:r>
        <w:rPr>
          <w:rFonts w:ascii="Calibri" w:hAnsi="Calibri"/>
          <w:sz w:val="22"/>
          <w:szCs w:val="22"/>
          <w:lang w:eastAsia="en-US"/>
        </w:rPr>
        <w:t>.</w:t>
      </w:r>
      <w:r>
        <w:rPr>
          <w:sz w:val="14"/>
          <w:szCs w:val="14"/>
          <w:lang w:eastAsia="en-US"/>
        </w:rPr>
        <w:t xml:space="preserve">       </w:t>
      </w:r>
      <w:r>
        <w:rPr>
          <w:rFonts w:ascii="Calibri" w:hAnsi="Calibri"/>
          <w:szCs w:val="24"/>
          <w:lang w:eastAsia="en-US"/>
        </w:rPr>
        <w:t>Zespół Szkół Centrum Kształcenia Rolni</w:t>
      </w:r>
      <w:r>
        <w:rPr>
          <w:rFonts w:ascii="Calibri" w:hAnsi="Calibri"/>
          <w:szCs w:val="24"/>
          <w:lang w:eastAsia="en-US"/>
        </w:rPr>
        <w:t>czego w Henrykowie</w:t>
      </w:r>
    </w:p>
    <w:p w:rsidR="00885622" w:rsidRDefault="00CD305F">
      <w:pPr>
        <w:pStyle w:val="Akapitzlist"/>
        <w:spacing w:line="276" w:lineRule="auto"/>
        <w:ind w:hanging="360"/>
        <w:rPr>
          <w:rFonts w:ascii="Calibri" w:hAnsi="Calibri"/>
          <w:szCs w:val="24"/>
          <w:lang w:eastAsia="en-US"/>
        </w:rPr>
      </w:pPr>
      <w:r>
        <w:rPr>
          <w:rFonts w:ascii="Calibri" w:hAnsi="Calibri"/>
          <w:szCs w:val="24"/>
          <w:lang w:eastAsia="en-US"/>
        </w:rPr>
        <w:t>4.</w:t>
      </w:r>
      <w:r>
        <w:rPr>
          <w:szCs w:val="24"/>
          <w:lang w:eastAsia="en-US"/>
        </w:rPr>
        <w:t>    </w:t>
      </w:r>
      <w:r>
        <w:rPr>
          <w:rFonts w:ascii="Calibri" w:hAnsi="Calibri"/>
          <w:szCs w:val="24"/>
          <w:lang w:eastAsia="en-US"/>
        </w:rPr>
        <w:t>Zespół Szkół – Centrum Edukacji Zawodowej w Rawie Mazowieckiej</w:t>
      </w:r>
    </w:p>
    <w:p w:rsidR="00885622" w:rsidRDefault="00CD305F">
      <w:pPr>
        <w:pStyle w:val="Akapitzlist"/>
        <w:spacing w:line="276" w:lineRule="auto"/>
        <w:ind w:hanging="360"/>
        <w:rPr>
          <w:rFonts w:ascii="Calibri" w:hAnsi="Calibri"/>
          <w:szCs w:val="24"/>
          <w:lang w:eastAsia="en-US"/>
        </w:rPr>
      </w:pPr>
      <w:r>
        <w:rPr>
          <w:rFonts w:ascii="Calibri" w:hAnsi="Calibri"/>
          <w:szCs w:val="24"/>
          <w:lang w:eastAsia="en-US"/>
        </w:rPr>
        <w:lastRenderedPageBreak/>
        <w:t>5.</w:t>
      </w:r>
      <w:r>
        <w:rPr>
          <w:szCs w:val="24"/>
          <w:lang w:eastAsia="en-US"/>
        </w:rPr>
        <w:t>    </w:t>
      </w:r>
      <w:r>
        <w:rPr>
          <w:rFonts w:ascii="Calibri" w:hAnsi="Calibri"/>
          <w:szCs w:val="24"/>
          <w:lang w:eastAsia="en-US"/>
        </w:rPr>
        <w:t>Zespół Szkół Licealnych w Biłgoraju</w:t>
      </w:r>
    </w:p>
    <w:p w:rsidR="00885622" w:rsidRDefault="00CD305F">
      <w:pPr>
        <w:pStyle w:val="Akapitzlist"/>
        <w:spacing w:line="276" w:lineRule="auto"/>
        <w:ind w:hanging="360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Cs w:val="24"/>
          <w:lang w:eastAsia="en-US"/>
        </w:rPr>
        <w:t>6.</w:t>
      </w:r>
      <w:r>
        <w:rPr>
          <w:szCs w:val="24"/>
          <w:lang w:eastAsia="en-US"/>
        </w:rPr>
        <w:t>    </w:t>
      </w:r>
      <w:r>
        <w:rPr>
          <w:rFonts w:ascii="Calibri" w:hAnsi="Calibri"/>
          <w:szCs w:val="24"/>
          <w:lang w:eastAsia="en-US"/>
        </w:rPr>
        <w:t>ZSZ Góra Kalwaria</w:t>
      </w:r>
    </w:p>
    <w:p w:rsidR="00885622" w:rsidRDefault="00885622">
      <w:pPr>
        <w:jc w:val="both"/>
        <w:rPr>
          <w:rFonts w:cs="Calibri"/>
          <w:sz w:val="24"/>
          <w:szCs w:val="24"/>
        </w:rPr>
      </w:pPr>
    </w:p>
    <w:p w:rsidR="00885622" w:rsidRDefault="00CD305F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Zamawiający zleci Wykonawcy weryfikację dokumentacji dotyczącej stosowania ustawy Prawo Zamówień </w:t>
      </w:r>
      <w:r>
        <w:rPr>
          <w:rFonts w:cs="Calibri"/>
          <w:sz w:val="24"/>
          <w:szCs w:val="24"/>
        </w:rPr>
        <w:t>Publicznych. Wykonawca zobowiązany będzie dokonać weryfikacji oraz przedstawić raport do dnia 10 maja 2021 r.</w:t>
      </w:r>
      <w:r>
        <w:rPr>
          <w:rFonts w:cs="Calibri"/>
          <w:sz w:val="24"/>
          <w:szCs w:val="24"/>
        </w:rPr>
        <w:t xml:space="preserve"> Wynagrodzenie będzie wypłacane za faktycznie wykonane weryfikacje dokumentacji.</w:t>
      </w:r>
    </w:p>
    <w:p w:rsidR="00885622" w:rsidRDefault="00885622">
      <w:pPr>
        <w:widowControl w:val="0"/>
        <w:spacing w:before="120" w:after="0"/>
        <w:jc w:val="both"/>
        <w:textAlignment w:val="baseline"/>
        <w:rPr>
          <w:rFonts w:cs="Calibri"/>
          <w:b/>
          <w:sz w:val="24"/>
          <w:szCs w:val="24"/>
        </w:rPr>
      </w:pPr>
    </w:p>
    <w:p w:rsidR="00885622" w:rsidRDefault="00CD305F">
      <w:pPr>
        <w:numPr>
          <w:ilvl w:val="0"/>
          <w:numId w:val="1"/>
        </w:numPr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Założenia zamówienia:</w:t>
      </w:r>
    </w:p>
    <w:p w:rsidR="00885622" w:rsidRDefault="00CD305F">
      <w:pPr>
        <w:widowControl w:val="0"/>
        <w:numPr>
          <w:ilvl w:val="0"/>
          <w:numId w:val="3"/>
        </w:numPr>
        <w:spacing w:after="120" w:line="280" w:lineRule="atLeast"/>
        <w:ind w:left="426" w:hanging="426"/>
        <w:contextualSpacing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Celem pracy osoby/</w:t>
      </w:r>
      <w:r>
        <w:rPr>
          <w:rFonts w:cs="Calibri"/>
          <w:sz w:val="24"/>
          <w:szCs w:val="24"/>
        </w:rPr>
        <w:t xml:space="preserve">osób skierowanych przez Wykonawcę do weryfikacji </w:t>
      </w:r>
      <w:r>
        <w:rPr>
          <w:rFonts w:cs="Calibri"/>
          <w:sz w:val="24"/>
          <w:szCs w:val="24"/>
        </w:rPr>
        <w:t>dokumentacji projektowej Beneficjentów</w:t>
      </w: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 jest zapewnienie, że wydatki w ramach projektu są zgodne z prawem krajowym, a także zostały poniesione zgodnie z wymaganiami dokumentów programowych i postanowieniami umowy o dofinansowanie projektu.</w:t>
      </w:r>
    </w:p>
    <w:p w:rsidR="00885622" w:rsidRDefault="00885622">
      <w:pPr>
        <w:widowControl w:val="0"/>
        <w:spacing w:after="120" w:line="280" w:lineRule="atLeast"/>
        <w:contextualSpacing/>
        <w:jc w:val="both"/>
        <w:rPr>
          <w:rFonts w:eastAsia="Times New Roman" w:cs="Calibri"/>
          <w:b/>
          <w:color w:val="000000"/>
          <w:sz w:val="24"/>
          <w:szCs w:val="24"/>
          <w:lang w:eastAsia="pl-PL"/>
        </w:rPr>
      </w:pPr>
    </w:p>
    <w:p w:rsidR="00885622" w:rsidRDefault="00CD305F">
      <w:pPr>
        <w:widowControl w:val="0"/>
        <w:spacing w:after="120" w:line="280" w:lineRule="atLeast"/>
        <w:contextualSpacing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W ramach weryfik</w:t>
      </w: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acji przestrzegania </w:t>
      </w:r>
      <w:r>
        <w:rPr>
          <w:rFonts w:cs="Calibri"/>
          <w:sz w:val="24"/>
          <w:szCs w:val="24"/>
        </w:rPr>
        <w:t xml:space="preserve">zasady uczciwej konkurencji i przejrzystości dla wydatków dotyczących usług transportowych, hotelowych oraz żywieniowych </w:t>
      </w:r>
      <w:r>
        <w:rPr>
          <w:rFonts w:eastAsia="Times New Roman" w:cs="Calibri"/>
          <w:color w:val="000000"/>
          <w:sz w:val="24"/>
          <w:szCs w:val="24"/>
          <w:lang w:eastAsia="pl-PL"/>
        </w:rPr>
        <w:t>i stosowania ustawy Prawo Zamówień Publicznych oraz regulaminów wewnętrznych</w:t>
      </w: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 przez wskazanych Beneficjentów, Wykonawca zobligowany jest do: </w:t>
      </w:r>
    </w:p>
    <w:p w:rsidR="00885622" w:rsidRDefault="00885622">
      <w:pPr>
        <w:widowControl w:val="0"/>
        <w:spacing w:after="120" w:line="280" w:lineRule="atLeast"/>
        <w:contextualSpacing/>
        <w:jc w:val="both"/>
        <w:rPr>
          <w:rFonts w:eastAsia="Times New Roman" w:cs="Calibri"/>
          <w:b/>
          <w:color w:val="000000"/>
          <w:sz w:val="24"/>
          <w:szCs w:val="24"/>
          <w:lang w:eastAsia="pl-PL"/>
        </w:rPr>
      </w:pPr>
    </w:p>
    <w:p w:rsidR="00885622" w:rsidRDefault="00CD305F">
      <w:pPr>
        <w:widowControl w:val="0"/>
        <w:numPr>
          <w:ilvl w:val="0"/>
          <w:numId w:val="5"/>
        </w:numPr>
        <w:spacing w:before="120" w:after="0"/>
        <w:jc w:val="both"/>
        <w:textAlignment w:val="baseline"/>
        <w:rPr>
          <w:rFonts w:eastAsia="Times New Roman" w:cs="Calibri"/>
          <w:bCs/>
          <w:sz w:val="24"/>
          <w:szCs w:val="24"/>
          <w:lang w:eastAsia="pl-PL"/>
        </w:rPr>
      </w:pPr>
      <w:r>
        <w:rPr>
          <w:rFonts w:eastAsia="Times New Roman" w:cs="Calibri"/>
          <w:bCs/>
          <w:sz w:val="24"/>
          <w:szCs w:val="24"/>
          <w:lang w:eastAsia="pl-PL"/>
        </w:rPr>
        <w:t>Prz</w:t>
      </w:r>
      <w:r>
        <w:rPr>
          <w:rFonts w:eastAsia="Times New Roman" w:cs="Calibri"/>
          <w:bCs/>
          <w:sz w:val="24"/>
          <w:szCs w:val="24"/>
          <w:lang w:eastAsia="pl-PL"/>
        </w:rPr>
        <w:t>eprowadzenia weryfikacji pogłębionej zdalnej „zza biurka” (wyłącznie drogą elektroniczną, ewentualnie telefonicznie w celu wyjaśnień) dokumentacji prowadzonej przez Beneficjentów w związku ze stosowaniem zasady uczciwej konkurencji i przejrzystości postepo</w:t>
      </w:r>
      <w:r>
        <w:rPr>
          <w:rFonts w:eastAsia="Times New Roman" w:cs="Calibri"/>
          <w:bCs/>
          <w:sz w:val="24"/>
          <w:szCs w:val="24"/>
          <w:lang w:eastAsia="pl-PL"/>
        </w:rPr>
        <w:t xml:space="preserve">wania dla wydatków dotyczących </w:t>
      </w:r>
      <w:r>
        <w:rPr>
          <w:rFonts w:cs="Calibri"/>
          <w:sz w:val="24"/>
          <w:szCs w:val="24"/>
        </w:rPr>
        <w:t xml:space="preserve">postępowań </w:t>
      </w:r>
      <w:r>
        <w:t>w zakresie wyjazdów uczniów na praktyki do Grecji</w:t>
      </w:r>
      <w:r>
        <w:rPr>
          <w:rFonts w:cs="Calibri"/>
          <w:sz w:val="24"/>
          <w:szCs w:val="24"/>
        </w:rPr>
        <w:t xml:space="preserve">  </w:t>
      </w:r>
      <w:r>
        <w:rPr>
          <w:rFonts w:eastAsia="Times New Roman" w:cs="Calibri"/>
          <w:bCs/>
          <w:sz w:val="24"/>
          <w:szCs w:val="24"/>
          <w:lang w:eastAsia="pl-PL"/>
        </w:rPr>
        <w:t>oraz  w związku ze stosowaniem ustawy Prawo zamówień publicznych a także regulaminów wewnętrznych,</w:t>
      </w:r>
    </w:p>
    <w:p w:rsidR="00885622" w:rsidRDefault="00CD305F">
      <w:pPr>
        <w:widowControl w:val="0"/>
        <w:numPr>
          <w:ilvl w:val="0"/>
          <w:numId w:val="5"/>
        </w:numPr>
        <w:spacing w:before="120" w:after="0"/>
        <w:jc w:val="both"/>
        <w:textAlignment w:val="baseline"/>
        <w:rPr>
          <w:rFonts w:eastAsia="Times New Roman" w:cs="Calibri"/>
          <w:bCs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 xml:space="preserve">Zamawiający poinformuje Wykonawcę najpóźniej 7 dni przed przekazaniem dokumentacji do weryfikacji </w:t>
      </w:r>
      <w:r>
        <w:rPr>
          <w:rFonts w:cs="Calibri"/>
          <w:sz w:val="24"/>
          <w:szCs w:val="24"/>
        </w:rPr>
        <w:t>o zamiarze zlecenia usługi weryfikacji dokumentacji danego Beneficjentów.</w:t>
      </w:r>
    </w:p>
    <w:p w:rsidR="00885622" w:rsidRDefault="00CD305F">
      <w:pPr>
        <w:widowControl w:val="0"/>
        <w:numPr>
          <w:ilvl w:val="0"/>
          <w:numId w:val="5"/>
        </w:numPr>
        <w:spacing w:before="120" w:after="0"/>
        <w:jc w:val="both"/>
        <w:textAlignment w:val="baseline"/>
        <w:rPr>
          <w:rFonts w:eastAsia="Times New Roman" w:cs="Calibri"/>
          <w:bCs/>
          <w:sz w:val="24"/>
          <w:szCs w:val="24"/>
          <w:lang w:eastAsia="pl-PL"/>
        </w:rPr>
      </w:pPr>
      <w:r>
        <w:rPr>
          <w:rFonts w:eastAsia="Times New Roman" w:cs="Calibri"/>
          <w:bCs/>
          <w:sz w:val="24"/>
          <w:szCs w:val="24"/>
          <w:lang w:eastAsia="pl-PL"/>
        </w:rPr>
        <w:t>Przygotowania informacji i zaleceń po weryfikacji adekwatnie do tematyki,</w:t>
      </w:r>
    </w:p>
    <w:p w:rsidR="00885622" w:rsidRDefault="00CD305F">
      <w:pPr>
        <w:widowControl w:val="0"/>
        <w:numPr>
          <w:ilvl w:val="0"/>
          <w:numId w:val="5"/>
        </w:numPr>
        <w:spacing w:before="120" w:after="0"/>
        <w:jc w:val="both"/>
        <w:textAlignment w:val="baseline"/>
        <w:rPr>
          <w:rFonts w:eastAsia="Times New Roman" w:cs="Calibri"/>
          <w:bCs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Wykonawca nie może mieć powiązań osobowych i/lub kapitałowych z Beneficjentami.</w:t>
      </w:r>
    </w:p>
    <w:p w:rsidR="00885622" w:rsidRDefault="00CD305F">
      <w:pPr>
        <w:widowControl w:val="0"/>
        <w:numPr>
          <w:ilvl w:val="0"/>
          <w:numId w:val="5"/>
        </w:numPr>
        <w:spacing w:before="120" w:after="0"/>
        <w:jc w:val="both"/>
        <w:textAlignment w:val="baseline"/>
        <w:rPr>
          <w:rFonts w:eastAsia="Times New Roman" w:cs="Calibri"/>
          <w:bCs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Dysponowania odpowiednim pot</w:t>
      </w:r>
      <w:r>
        <w:rPr>
          <w:rFonts w:cs="Calibri"/>
          <w:sz w:val="24"/>
          <w:szCs w:val="24"/>
        </w:rPr>
        <w:t>encjałem technicznym tj. komputer, telefon, łącze internetowe, poczta e-mail.</w:t>
      </w:r>
    </w:p>
    <w:p w:rsidR="00885622" w:rsidRDefault="00CD305F">
      <w:pPr>
        <w:numPr>
          <w:ilvl w:val="0"/>
          <w:numId w:val="3"/>
        </w:numPr>
        <w:ind w:left="426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Zakres oceny wydatków przeprowadzanej przez osobę weryfikującą dokumenty projektowe Beneficjentów.</w:t>
      </w:r>
    </w:p>
    <w:p w:rsidR="00885622" w:rsidRDefault="00CD305F">
      <w:pPr>
        <w:ind w:left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Zakres oceny przeprowadzanej przez osobę odpowiedzialną za weryfikację dokument</w:t>
      </w:r>
      <w:r>
        <w:rPr>
          <w:rFonts w:cs="Calibri"/>
          <w:sz w:val="24"/>
          <w:szCs w:val="24"/>
        </w:rPr>
        <w:t>acji projektowej Beneficjentów obejmuje w szczególności:</w:t>
      </w:r>
    </w:p>
    <w:p w:rsidR="00885622" w:rsidRDefault="00CD305F">
      <w:pPr>
        <w:numPr>
          <w:ilvl w:val="0"/>
          <w:numId w:val="4"/>
        </w:numPr>
        <w:spacing w:after="120" w:line="280" w:lineRule="atLeast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analizę budżetu grantu pod kątem konieczności stosowania </w:t>
      </w:r>
      <w:r>
        <w:rPr>
          <w:rFonts w:cs="Calibri"/>
          <w:sz w:val="24"/>
          <w:szCs w:val="24"/>
        </w:rPr>
        <w:t xml:space="preserve">zasady uczciwej konkurencji i przejrzystości dla danego wydatku </w:t>
      </w:r>
      <w:r>
        <w:rPr>
          <w:rFonts w:eastAsia="Times New Roman" w:cs="Calibri"/>
          <w:color w:val="000000"/>
          <w:sz w:val="24"/>
          <w:szCs w:val="24"/>
          <w:lang w:eastAsia="pl-PL"/>
        </w:rPr>
        <w:t>i</w:t>
      </w:r>
      <w:r>
        <w:rPr>
          <w:rFonts w:eastAsia="Times New Roman" w:cs="Calibri"/>
          <w:b/>
          <w:color w:val="000000"/>
          <w:sz w:val="24"/>
          <w:szCs w:val="24"/>
          <w:lang w:eastAsia="pl-PL"/>
        </w:rPr>
        <w:t xml:space="preserve"> </w:t>
      </w:r>
      <w:r>
        <w:rPr>
          <w:rFonts w:eastAsia="Times New Roman" w:cs="Calibri"/>
          <w:color w:val="000000"/>
          <w:sz w:val="24"/>
          <w:szCs w:val="24"/>
          <w:lang w:eastAsia="pl-PL"/>
        </w:rPr>
        <w:t>stosowania ustawy Prawo Zamówień Publicznych przez Beneficjentów</w:t>
      </w:r>
      <w:r>
        <w:rPr>
          <w:rFonts w:cs="Calibri"/>
          <w:color w:val="000000"/>
          <w:sz w:val="24"/>
          <w:szCs w:val="24"/>
        </w:rPr>
        <w:t xml:space="preserve"> dla określonych wydatków oraz regulaminy wewnętrzne</w:t>
      </w:r>
      <w:r>
        <w:rPr>
          <w:rFonts w:cs="Calibri"/>
          <w:color w:val="000000"/>
          <w:sz w:val="24"/>
          <w:szCs w:val="24"/>
        </w:rPr>
        <w:t>,</w:t>
      </w:r>
    </w:p>
    <w:p w:rsidR="00885622" w:rsidRDefault="00CD305F">
      <w:pPr>
        <w:numPr>
          <w:ilvl w:val="0"/>
          <w:numId w:val="4"/>
        </w:numPr>
        <w:spacing w:after="120" w:line="280" w:lineRule="atLeast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weryfikację czy wybór wykonawców usług w ramach zapytania ofertowego/postępowania</w:t>
      </w:r>
      <w:r>
        <w:rPr>
          <w:rFonts w:cs="Calibri"/>
          <w:color w:val="000000"/>
          <w:sz w:val="24"/>
          <w:szCs w:val="24"/>
        </w:rPr>
        <w:t xml:space="preserve"> został dokonany w oparciu o właściwe procedury, w tym prawa krajowego dotyczącego zamówień publicznych,</w:t>
      </w:r>
    </w:p>
    <w:p w:rsidR="00885622" w:rsidRDefault="00CD305F">
      <w:pPr>
        <w:numPr>
          <w:ilvl w:val="0"/>
          <w:numId w:val="4"/>
        </w:numPr>
        <w:spacing w:after="120" w:line="280" w:lineRule="atLeast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weryfikację dokumentacji potwierdzającej dostarczenie ws</w:t>
      </w:r>
      <w:r>
        <w:rPr>
          <w:rFonts w:cs="Calibri"/>
          <w:color w:val="000000"/>
          <w:sz w:val="24"/>
          <w:szCs w:val="24"/>
        </w:rPr>
        <w:t>półfinansowanych towarów i usług,</w:t>
      </w:r>
    </w:p>
    <w:p w:rsidR="00885622" w:rsidRPr="00CD305F" w:rsidRDefault="00CD305F" w:rsidP="00CD305F">
      <w:pPr>
        <w:pStyle w:val="Akapitzlist"/>
        <w:numPr>
          <w:ilvl w:val="0"/>
          <w:numId w:val="4"/>
        </w:numPr>
        <w:spacing w:after="120" w:line="280" w:lineRule="atLeast"/>
        <w:rPr>
          <w:rFonts w:cs="Calibri"/>
          <w:color w:val="000000"/>
          <w:szCs w:val="24"/>
        </w:rPr>
      </w:pPr>
      <w:r w:rsidRPr="00CD305F">
        <w:rPr>
          <w:rFonts w:cs="Calibri"/>
          <w:color w:val="000000"/>
          <w:szCs w:val="24"/>
        </w:rPr>
        <w:t>weryfikację dokumentacji dotyczącej wyboru wykonawcy dla zamówień udzielanych w związku z realizacją projektu,</w:t>
      </w:r>
    </w:p>
    <w:p w:rsidR="00885622" w:rsidRDefault="00CD305F">
      <w:pPr>
        <w:spacing w:after="120" w:line="280" w:lineRule="atLeast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W</w:t>
      </w:r>
      <w:r>
        <w:rPr>
          <w:rFonts w:cs="Calibri"/>
          <w:color w:val="000000"/>
          <w:sz w:val="24"/>
          <w:szCs w:val="24"/>
        </w:rPr>
        <w:t xml:space="preserve"> celu potwierdzenia prawidłowości procedur regulowanych odpowiednimi przepisami dotyczącymi zamówień publiczny</w:t>
      </w:r>
      <w:r>
        <w:rPr>
          <w:rFonts w:cs="Calibri"/>
          <w:color w:val="000000"/>
          <w:sz w:val="24"/>
          <w:szCs w:val="24"/>
        </w:rPr>
        <w:t>ch, osoba odpowiedzialna za weryfikację sprawdza dokumenty przetargowe, do których w zależności od progu należą:</w:t>
      </w:r>
    </w:p>
    <w:p w:rsidR="00885622" w:rsidRDefault="00CD305F">
      <w:pPr>
        <w:spacing w:after="120" w:line="280" w:lineRule="atLeast"/>
        <w:ind w:left="720" w:hanging="72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1) protokół z postępowania o udzielenie zamówienia publicznego zawierający:</w:t>
      </w:r>
    </w:p>
    <w:p w:rsidR="00885622" w:rsidRDefault="00CD305F">
      <w:pPr>
        <w:numPr>
          <w:ilvl w:val="0"/>
          <w:numId w:val="6"/>
        </w:numPr>
        <w:spacing w:after="120" w:line="280" w:lineRule="atLeast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uzasadnienie wybranej procedury w świetle zidentyfikowanych </w:t>
      </w:r>
      <w:r>
        <w:rPr>
          <w:rFonts w:cs="Calibri"/>
          <w:color w:val="000000"/>
          <w:sz w:val="24"/>
          <w:szCs w:val="24"/>
        </w:rPr>
        <w:t>potrzeb,</w:t>
      </w:r>
    </w:p>
    <w:p w:rsidR="00885622" w:rsidRDefault="00CD305F">
      <w:pPr>
        <w:numPr>
          <w:ilvl w:val="0"/>
          <w:numId w:val="6"/>
        </w:numPr>
        <w:spacing w:after="120" w:line="280" w:lineRule="atLeast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ocenę ofert w świetle wcześniej ogłoszonych kryteriów oceny i wagi,</w:t>
      </w:r>
    </w:p>
    <w:p w:rsidR="00885622" w:rsidRDefault="00CD305F">
      <w:pPr>
        <w:numPr>
          <w:ilvl w:val="0"/>
          <w:numId w:val="6"/>
        </w:numPr>
        <w:spacing w:after="120" w:line="280" w:lineRule="atLeast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wszystkie jego załączniki.</w:t>
      </w:r>
    </w:p>
    <w:p w:rsidR="00885622" w:rsidRDefault="00CD305F">
      <w:pPr>
        <w:spacing w:after="120" w:line="280" w:lineRule="atLeast"/>
        <w:ind w:left="284" w:hanging="284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2) ogłoszenie o zamówieniu wraz z ewentualnymi zmianami (wraz z dowodami, że nie zakłóciło ono konkurencji na właściwym rynku oraz, że nie doszło do zmi</w:t>
      </w:r>
      <w:r>
        <w:rPr>
          <w:rFonts w:cs="Calibri"/>
          <w:color w:val="000000"/>
          <w:sz w:val="24"/>
          <w:szCs w:val="24"/>
        </w:rPr>
        <w:t>any przedmiotu pierwotnej umowy);</w:t>
      </w:r>
    </w:p>
    <w:p w:rsidR="00885622" w:rsidRDefault="00CD305F">
      <w:pPr>
        <w:spacing w:after="120" w:line="280" w:lineRule="atLeast"/>
        <w:ind w:left="284" w:hanging="284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3) wystarczająco określona Specyfikacja Istotnych Warunków Zamówienia, w tym jasne informacje dla kandydatów na temat kryteriów oceny i wagi, wraz z ewentualnymi aneksami;</w:t>
      </w:r>
    </w:p>
    <w:p w:rsidR="00885622" w:rsidRDefault="00CD305F">
      <w:pPr>
        <w:spacing w:after="120" w:line="280" w:lineRule="atLeast"/>
        <w:ind w:left="720" w:hanging="72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4) zapytanie ofertowe lub publikacja ogłoszenia;</w:t>
      </w:r>
    </w:p>
    <w:p w:rsidR="00885622" w:rsidRDefault="00CD305F">
      <w:pPr>
        <w:spacing w:after="120" w:line="280" w:lineRule="atLeast"/>
        <w:ind w:left="720" w:hanging="72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5</w:t>
      </w:r>
      <w:r>
        <w:rPr>
          <w:rFonts w:cs="Calibri"/>
          <w:color w:val="000000"/>
          <w:sz w:val="24"/>
          <w:szCs w:val="24"/>
        </w:rPr>
        <w:t>) umowa o udzielenie zamówienia publicznego wraz z ewentualnymi zmianami;</w:t>
      </w:r>
    </w:p>
    <w:p w:rsidR="00885622" w:rsidRDefault="00CD305F">
      <w:pPr>
        <w:spacing w:after="120" w:line="280" w:lineRule="atLeast"/>
        <w:ind w:left="720" w:hanging="72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6) oferty wraz z wymaganymi załącznikami;</w:t>
      </w:r>
    </w:p>
    <w:p w:rsidR="00885622" w:rsidRDefault="00CD305F">
      <w:pPr>
        <w:spacing w:after="120" w:line="280" w:lineRule="atLeast"/>
        <w:ind w:left="720" w:hanging="72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7) treść zapytań i odpowiedzi – jeśli dotyczy;</w:t>
      </w:r>
    </w:p>
    <w:p w:rsidR="00885622" w:rsidRDefault="00CD305F">
      <w:pPr>
        <w:spacing w:after="120" w:line="280" w:lineRule="atLeast"/>
        <w:ind w:left="720" w:hanging="72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8) wniesienie wadium – jeśli dotyczy;</w:t>
      </w:r>
    </w:p>
    <w:p w:rsidR="00885622" w:rsidRDefault="00CD305F">
      <w:pPr>
        <w:spacing w:after="120" w:line="280" w:lineRule="atLeast"/>
        <w:ind w:left="720" w:hanging="72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9) dokument powołujący Komisję przetargową – jeśli doty</w:t>
      </w:r>
      <w:r>
        <w:rPr>
          <w:rFonts w:cs="Calibri"/>
          <w:color w:val="000000"/>
          <w:sz w:val="24"/>
          <w:szCs w:val="24"/>
        </w:rPr>
        <w:t>czy;</w:t>
      </w:r>
    </w:p>
    <w:p w:rsidR="00885622" w:rsidRDefault="00CD305F">
      <w:pPr>
        <w:spacing w:after="120" w:line="280" w:lineRule="atLeast"/>
        <w:ind w:left="720" w:hanging="72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10)informacja o odrzuceniu oferty/wykluczeniu Wykonawcy i wyborze oferty najkorzystniejszej;</w:t>
      </w:r>
    </w:p>
    <w:p w:rsidR="00885622" w:rsidRDefault="00CD305F">
      <w:pPr>
        <w:spacing w:after="120" w:line="280" w:lineRule="atLeast"/>
        <w:ind w:left="720" w:hanging="72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11) unieważnieniu postępowania;</w:t>
      </w:r>
    </w:p>
    <w:p w:rsidR="00885622" w:rsidRDefault="00CD305F">
      <w:pPr>
        <w:spacing w:after="120" w:line="280" w:lineRule="atLeast"/>
        <w:ind w:left="720" w:hanging="72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12) ogłoszenie o udzieleniu zamówienia publicznego.</w:t>
      </w:r>
    </w:p>
    <w:p w:rsidR="00885622" w:rsidRDefault="00885622">
      <w:pPr>
        <w:spacing w:after="120" w:line="280" w:lineRule="atLeast"/>
        <w:ind w:left="720" w:hanging="720"/>
        <w:jc w:val="both"/>
        <w:rPr>
          <w:rFonts w:cs="Calibri"/>
          <w:color w:val="000000"/>
          <w:sz w:val="24"/>
          <w:szCs w:val="24"/>
        </w:rPr>
      </w:pPr>
    </w:p>
    <w:p w:rsidR="00885622" w:rsidRDefault="00CD305F">
      <w:pPr>
        <w:numPr>
          <w:ilvl w:val="0"/>
          <w:numId w:val="3"/>
        </w:numPr>
        <w:shd w:val="clear" w:color="auto" w:fill="FFFFFF"/>
        <w:spacing w:after="0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Wykonawca powinien przygotować zalecenia po weryfikacji dokumentacji proj</w:t>
      </w:r>
      <w:r>
        <w:rPr>
          <w:rFonts w:eastAsia="Times New Roman" w:cs="Calibri"/>
          <w:sz w:val="24"/>
          <w:szCs w:val="24"/>
          <w:lang w:eastAsia="pl-PL"/>
        </w:rPr>
        <w:t>ektowej w postaci raportu i przekazać je w wersji elektronicznej osobie wyznaczonej do kontaktu ze strony Zamawiającego najpóźniej 14 dni kalendarzowych po przekazaniu przez Zamawiającego dokumentacji do weryfikacji.</w:t>
      </w:r>
    </w:p>
    <w:p w:rsidR="00885622" w:rsidRDefault="00CD305F">
      <w:pPr>
        <w:numPr>
          <w:ilvl w:val="0"/>
          <w:numId w:val="3"/>
        </w:numPr>
        <w:shd w:val="clear" w:color="auto" w:fill="FFFFFF"/>
        <w:spacing w:after="0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Raport, o którym mowa powyżej zawiera c</w:t>
      </w:r>
      <w:r>
        <w:rPr>
          <w:rFonts w:eastAsia="Times New Roman" w:cs="Calibri"/>
          <w:sz w:val="24"/>
          <w:szCs w:val="24"/>
          <w:lang w:eastAsia="pl-PL"/>
        </w:rPr>
        <w:t>o najmniej: listę sprawdzonych dokumentów, stwierdzone uchybienia i nieprawidłowości, datę weryfikacji, nawę podmiotu podlegającego weryfikacji, zalecenie i możliwe środki naprawcze.</w:t>
      </w:r>
    </w:p>
    <w:p w:rsidR="00885622" w:rsidRDefault="00885622">
      <w:pPr>
        <w:widowControl w:val="0"/>
        <w:spacing w:before="120" w:after="120" w:line="280" w:lineRule="atLeast"/>
        <w:contextualSpacing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</w:p>
    <w:p w:rsidR="00885622" w:rsidRDefault="00885622">
      <w:pPr>
        <w:widowControl w:val="0"/>
        <w:spacing w:before="120" w:after="120" w:line="280" w:lineRule="atLeast"/>
        <w:ind w:left="644"/>
        <w:contextualSpacing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</w:p>
    <w:p w:rsidR="00885622" w:rsidRDefault="00885622">
      <w:pPr>
        <w:widowControl w:val="0"/>
        <w:spacing w:before="120" w:after="0"/>
        <w:jc w:val="both"/>
        <w:textAlignment w:val="baseline"/>
        <w:rPr>
          <w:rFonts w:cs="Calibri"/>
          <w:sz w:val="24"/>
          <w:szCs w:val="24"/>
        </w:rPr>
      </w:pPr>
    </w:p>
    <w:p w:rsidR="00885622" w:rsidRDefault="00CD305F">
      <w:pPr>
        <w:numPr>
          <w:ilvl w:val="0"/>
          <w:numId w:val="1"/>
        </w:numPr>
        <w:ind w:left="426" w:hanging="284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Planowany termin i miejsce realizacji zamówienia:</w:t>
      </w:r>
    </w:p>
    <w:p w:rsidR="00885622" w:rsidRDefault="00CD305F">
      <w:pPr>
        <w:numPr>
          <w:ilvl w:val="0"/>
          <w:numId w:val="2"/>
        </w:numPr>
        <w:ind w:left="567" w:hanging="425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termin świadczenia usługi:  umowa będzie realizowana od dnia jej zawarcia do dnia 1</w:t>
      </w:r>
      <w:r>
        <w:rPr>
          <w:rFonts w:cs="Calibri"/>
          <w:sz w:val="24"/>
          <w:szCs w:val="24"/>
        </w:rPr>
        <w:t>0 maja</w:t>
      </w:r>
      <w:bookmarkStart w:id="0" w:name="_GoBack"/>
      <w:bookmarkEnd w:id="0"/>
      <w:r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2021 r.</w:t>
      </w:r>
    </w:p>
    <w:p w:rsidR="00885622" w:rsidRDefault="00CD305F">
      <w:pPr>
        <w:numPr>
          <w:ilvl w:val="0"/>
          <w:numId w:val="2"/>
        </w:numPr>
        <w:ind w:left="567" w:hanging="425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miejsce świadczenia usługi: zdalna weryfikacja dokumentacji ,,zza biurka’’.</w:t>
      </w:r>
    </w:p>
    <w:p w:rsidR="00885622" w:rsidRDefault="00885622">
      <w:pPr>
        <w:spacing w:after="120" w:line="240" w:lineRule="auto"/>
      </w:pPr>
    </w:p>
    <w:sectPr w:rsidR="00885622">
      <w:headerReference w:type="default" r:id="rId7"/>
      <w:footerReference w:type="default" r:id="rId8"/>
      <w:pgSz w:w="11906" w:h="16838"/>
      <w:pgMar w:top="2268" w:right="1134" w:bottom="1985" w:left="1134" w:header="425" w:footer="87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D305F">
      <w:pPr>
        <w:spacing w:after="0" w:line="240" w:lineRule="auto"/>
      </w:pPr>
      <w:r>
        <w:separator/>
      </w:r>
    </w:p>
  </w:endnote>
  <w:endnote w:type="continuationSeparator" w:id="0">
    <w:p w:rsidR="00000000" w:rsidRDefault="00CD3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622" w:rsidRDefault="008856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D305F">
      <w:pPr>
        <w:spacing w:after="0" w:line="240" w:lineRule="auto"/>
      </w:pPr>
      <w:r>
        <w:separator/>
      </w:r>
    </w:p>
  </w:footnote>
  <w:footnote w:type="continuationSeparator" w:id="0">
    <w:p w:rsidR="00000000" w:rsidRDefault="00CD3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622" w:rsidRDefault="00CD305F">
    <w:pPr>
      <w:pStyle w:val="Nagwek"/>
      <w:tabs>
        <w:tab w:val="clear" w:pos="4536"/>
        <w:tab w:val="clear" w:pos="9072"/>
        <w:tab w:val="left" w:pos="965"/>
        <w:tab w:val="left" w:pos="3825"/>
        <w:tab w:val="center" w:pos="4819"/>
      </w:tabs>
    </w:pPr>
    <w:r>
      <w:rPr>
        <w:noProof/>
        <w:lang w:eastAsia="pl-PL"/>
      </w:rPr>
      <w:drawing>
        <wp:anchor distT="0" distB="0" distL="0" distR="0" simplePos="0" relativeHeight="5" behindDoc="1" locked="0" layoutInCell="1" allowOverlap="1">
          <wp:simplePos x="0" y="0"/>
          <wp:positionH relativeFrom="column">
            <wp:posOffset>-718820</wp:posOffset>
          </wp:positionH>
          <wp:positionV relativeFrom="paragraph">
            <wp:posOffset>-269875</wp:posOffset>
          </wp:positionV>
          <wp:extent cx="7557770" cy="10687050"/>
          <wp:effectExtent l="0" t="0" r="0" b="0"/>
          <wp:wrapNone/>
          <wp:docPr id="1" name="Obraz 0" descr="Erasmus+ EKS ENG papier firmowy 2021 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0" descr="Erasmus+ EKS ENG papier firmowy 2021 B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0687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C77C0"/>
    <w:multiLevelType w:val="multilevel"/>
    <w:tmpl w:val="97EA5BF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3751864"/>
    <w:multiLevelType w:val="multilevel"/>
    <w:tmpl w:val="C226A5E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F5144E0"/>
    <w:multiLevelType w:val="multilevel"/>
    <w:tmpl w:val="FA44D0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428416A4"/>
    <w:multiLevelType w:val="multilevel"/>
    <w:tmpl w:val="A81CB58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463353E5"/>
    <w:multiLevelType w:val="multilevel"/>
    <w:tmpl w:val="5980DA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55C37074"/>
    <w:multiLevelType w:val="multilevel"/>
    <w:tmpl w:val="D9842B60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575F17CD"/>
    <w:multiLevelType w:val="multilevel"/>
    <w:tmpl w:val="81F2C0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677256A9"/>
    <w:multiLevelType w:val="multilevel"/>
    <w:tmpl w:val="C090012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622"/>
    <w:rsid w:val="00885622"/>
    <w:rsid w:val="00CD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4E6E8"/>
  <w15:docId w15:val="{B0350D37-AAA3-43AA-8717-5AAA25B0F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512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rsid w:val="002F7548"/>
    <w:rPr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qFormat/>
    <w:rsid w:val="002F7548"/>
    <w:rPr>
      <w:sz w:val="22"/>
      <w:szCs w:val="22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96240"/>
    <w:rPr>
      <w:rFonts w:ascii="Tahoma" w:hAnsi="Tahoma" w:cs="Tahoma"/>
      <w:sz w:val="16"/>
      <w:szCs w:val="16"/>
      <w:lang w:eastAsia="en-US"/>
    </w:rPr>
  </w:style>
  <w:style w:type="character" w:customStyle="1" w:styleId="AkapitzlistZnak">
    <w:name w:val="Akapit z listą Znak"/>
    <w:link w:val="Akapitzlist"/>
    <w:uiPriority w:val="34"/>
    <w:qFormat/>
    <w:rsid w:val="00F01833"/>
    <w:rPr>
      <w:rFonts w:ascii="Times New Roman" w:eastAsia="Times New Roman" w:hAnsi="Times New Roman"/>
      <w:sz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F754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2F754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9624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F01833"/>
    <w:pPr>
      <w:widowControl w:val="0"/>
      <w:spacing w:before="120" w:after="0" w:line="240" w:lineRule="auto"/>
      <w:ind w:left="720"/>
      <w:contextualSpacing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957</Words>
  <Characters>5745</Characters>
  <Application>Microsoft Office Word</Application>
  <DocSecurity>0</DocSecurity>
  <Lines>47</Lines>
  <Paragraphs>13</Paragraphs>
  <ScaleCrop>false</ScaleCrop>
  <Company>FRSE</Company>
  <LinksUpToDate>false</LinksUpToDate>
  <CharactersWithSpaces>6689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pkonopka</dc:creator>
  <dc:description/>
  <cp:lastModifiedBy>Piotr Sosnowski</cp:lastModifiedBy>
  <cp:revision>4</cp:revision>
  <dcterms:created xsi:type="dcterms:W3CDTF">2021-04-07T10:31:00Z</dcterms:created>
  <dcterms:modified xsi:type="dcterms:W3CDTF">2021-04-08T11:25:00Z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FRSE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