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21" w:rsidRPr="00B13721" w:rsidRDefault="00B13721" w:rsidP="00B13721">
      <w:pPr>
        <w:pStyle w:val="Akapitzlist"/>
        <w:numPr>
          <w:ilvl w:val="0"/>
          <w:numId w:val="3"/>
        </w:numPr>
        <w:ind w:left="426"/>
        <w:jc w:val="both"/>
        <w:rPr>
          <w:b/>
          <w:sz w:val="28"/>
          <w:szCs w:val="28"/>
        </w:rPr>
      </w:pPr>
      <w:r w:rsidRPr="00B13721">
        <w:rPr>
          <w:b/>
          <w:sz w:val="28"/>
          <w:szCs w:val="28"/>
        </w:rPr>
        <w:t>Opis przedmiotu zamówienia</w:t>
      </w:r>
    </w:p>
    <w:p w:rsidR="00B13721" w:rsidRDefault="00B13721" w:rsidP="00B13721">
      <w:pPr>
        <w:jc w:val="both"/>
      </w:pPr>
    </w:p>
    <w:p w:rsidR="00DC5F26" w:rsidRDefault="00DC5F26" w:rsidP="00B13721">
      <w:pPr>
        <w:jc w:val="both"/>
      </w:pPr>
      <w:r>
        <w:t xml:space="preserve">Szczegółowy opis </w:t>
      </w:r>
      <w:r w:rsidR="00C430F9">
        <w:t xml:space="preserve">przedmiotu zamówienia </w:t>
      </w:r>
    </w:p>
    <w:p w:rsidR="00DC5F26" w:rsidRDefault="00C430F9" w:rsidP="00B13721">
      <w:pPr>
        <w:jc w:val="both"/>
      </w:pPr>
      <w:r>
        <w:t xml:space="preserve">Miejsce docelowe świadczenia usług – obecna siedziba Zamawiającego aleje Jerozolimskie 142A, </w:t>
      </w:r>
      <w:r>
        <w:br/>
        <w:t>02-305</w:t>
      </w:r>
      <w:r w:rsidR="00686167">
        <w:t xml:space="preserve"> Warszaw</w:t>
      </w:r>
      <w:r w:rsidR="00582544">
        <w:t>a</w:t>
      </w:r>
      <w:r>
        <w:t xml:space="preserve"> </w:t>
      </w:r>
    </w:p>
    <w:p w:rsidR="00680C0C" w:rsidRDefault="00680C0C" w:rsidP="00680C0C">
      <w:pPr>
        <w:pStyle w:val="Akapitzlist"/>
        <w:numPr>
          <w:ilvl w:val="0"/>
          <w:numId w:val="4"/>
        </w:numPr>
        <w:ind w:left="426"/>
        <w:jc w:val="both"/>
      </w:pPr>
      <w:r>
        <w:t>Lina ISDN (lub VoIP zakończona ISDN od strony abonenta) 30B+D:</w:t>
      </w:r>
    </w:p>
    <w:p w:rsidR="00680C0C" w:rsidRDefault="00680C0C" w:rsidP="00680C0C">
      <w:pPr>
        <w:pStyle w:val="Akapitzlist"/>
        <w:numPr>
          <w:ilvl w:val="0"/>
          <w:numId w:val="2"/>
        </w:numPr>
        <w:jc w:val="both"/>
      </w:pPr>
      <w:r>
        <w:t>Do przeniesienia strefa  numeracyjna 600 numerów.</w:t>
      </w:r>
    </w:p>
    <w:p w:rsidR="00680C0C" w:rsidRDefault="00680C0C" w:rsidP="00680C0C">
      <w:pPr>
        <w:pStyle w:val="Akapitzlist"/>
        <w:numPr>
          <w:ilvl w:val="0"/>
          <w:numId w:val="2"/>
        </w:numPr>
        <w:jc w:val="both"/>
      </w:pPr>
      <w:r>
        <w:t>Usługa infolinii (0-801 134 001) infolinia włączona w trakt ISDN jako kolejny numer abonenta.</w:t>
      </w:r>
    </w:p>
    <w:p w:rsidR="00680C0C" w:rsidRDefault="00680C0C" w:rsidP="00680C0C">
      <w:pPr>
        <w:pStyle w:val="Akapitzlist"/>
        <w:numPr>
          <w:ilvl w:val="0"/>
          <w:numId w:val="2"/>
        </w:numPr>
        <w:jc w:val="both"/>
      </w:pPr>
      <w:r>
        <w:t>Usługa świadczona na łączu głównym i zapasowym.</w:t>
      </w:r>
    </w:p>
    <w:p w:rsidR="00680C0C" w:rsidRDefault="00680C0C" w:rsidP="00680C0C">
      <w:pPr>
        <w:pStyle w:val="Akapitzlist"/>
        <w:jc w:val="both"/>
      </w:pPr>
    </w:p>
    <w:tbl>
      <w:tblPr>
        <w:tblW w:w="9776" w:type="dxa"/>
        <w:tblCellMar>
          <w:left w:w="0" w:type="dxa"/>
          <w:right w:w="0" w:type="dxa"/>
        </w:tblCellMar>
        <w:tblLook w:val="04A0" w:firstRow="1" w:lastRow="0" w:firstColumn="1" w:lastColumn="0" w:noHBand="0" w:noVBand="1"/>
      </w:tblPr>
      <w:tblGrid>
        <w:gridCol w:w="4927"/>
        <w:gridCol w:w="4849"/>
      </w:tblGrid>
      <w:tr w:rsidR="003238D9" w:rsidTr="003238D9">
        <w:trPr>
          <w:trHeight w:val="383"/>
        </w:trPr>
        <w:tc>
          <w:tcPr>
            <w:tcW w:w="4927" w:type="dxa"/>
            <w:noWrap/>
            <w:tcMar>
              <w:top w:w="0" w:type="dxa"/>
              <w:left w:w="70" w:type="dxa"/>
              <w:bottom w:w="0" w:type="dxa"/>
              <w:right w:w="70" w:type="dxa"/>
            </w:tcMar>
            <w:vAlign w:val="center"/>
            <w:hideMark/>
          </w:tcPr>
          <w:p w:rsidR="003238D9" w:rsidRDefault="003238D9">
            <w:pPr>
              <w:jc w:val="both"/>
              <w:rPr>
                <w:lang w:eastAsia="pl-PL"/>
              </w:rPr>
            </w:pPr>
            <w:r>
              <w:rPr>
                <w:lang w:eastAsia="pl-PL"/>
              </w:rPr>
              <w:t>Obecny profil połączeń Zamawiającego (zestawienie z 12 miesięcy)</w:t>
            </w:r>
          </w:p>
        </w:tc>
        <w:tc>
          <w:tcPr>
            <w:tcW w:w="4849" w:type="dxa"/>
            <w:noWrap/>
            <w:tcMar>
              <w:top w:w="0" w:type="dxa"/>
              <w:left w:w="70" w:type="dxa"/>
              <w:bottom w:w="0" w:type="dxa"/>
              <w:right w:w="70" w:type="dxa"/>
            </w:tcMar>
            <w:vAlign w:val="bottom"/>
            <w:hideMark/>
          </w:tcPr>
          <w:p w:rsidR="003238D9" w:rsidRDefault="003238D9">
            <w:pPr>
              <w:rPr>
                <w:lang w:eastAsia="pl-PL"/>
              </w:rPr>
            </w:pPr>
          </w:p>
        </w:tc>
      </w:tr>
      <w:tr w:rsidR="003238D9" w:rsidTr="003238D9">
        <w:trPr>
          <w:trHeight w:val="191"/>
        </w:trPr>
        <w:tc>
          <w:tcPr>
            <w:tcW w:w="49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rFonts w:ascii="Calibri" w:hAnsi="Calibri" w:cs="Calibri"/>
                <w:lang w:eastAsia="pl-PL"/>
              </w:rPr>
            </w:pPr>
            <w:r>
              <w:rPr>
                <w:lang w:eastAsia="pl-PL"/>
              </w:rPr>
              <w:t>Miejsce docelowe</w:t>
            </w:r>
          </w:p>
        </w:tc>
        <w:tc>
          <w:tcPr>
            <w:tcW w:w="48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lang w:eastAsia="pl-PL"/>
              </w:rPr>
            </w:pPr>
            <w:r>
              <w:rPr>
                <w:lang w:eastAsia="pl-PL"/>
              </w:rPr>
              <w:t>Czas trwania (minuty)</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lang w:eastAsia="pl-PL"/>
              </w:rPr>
            </w:pPr>
            <w:r>
              <w:rPr>
                <w:lang w:eastAsia="pl-PL"/>
              </w:rPr>
              <w:t>Międzynarodowe strefa 1</w:t>
            </w:r>
          </w:p>
        </w:tc>
        <w:tc>
          <w:tcPr>
            <w:tcW w:w="4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38D9" w:rsidRDefault="003238D9">
            <w:pPr>
              <w:jc w:val="right"/>
              <w:rPr>
                <w:rFonts w:ascii="Arial" w:hAnsi="Arial" w:cs="Arial"/>
                <w:sz w:val="20"/>
                <w:szCs w:val="20"/>
                <w:lang w:eastAsia="pl-PL"/>
              </w:rPr>
            </w:pPr>
            <w:r>
              <w:rPr>
                <w:rFonts w:ascii="Arial" w:hAnsi="Arial" w:cs="Arial"/>
                <w:sz w:val="20"/>
                <w:szCs w:val="20"/>
                <w:lang w:eastAsia="pl-PL"/>
              </w:rPr>
              <w:t>275</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rFonts w:ascii="Calibri" w:hAnsi="Calibri" w:cs="Calibri"/>
                <w:lang w:eastAsia="pl-PL"/>
              </w:rPr>
            </w:pPr>
            <w:r>
              <w:rPr>
                <w:lang w:eastAsia="pl-PL"/>
              </w:rPr>
              <w:t>Międzynarodowe strefa 2</w:t>
            </w:r>
          </w:p>
        </w:tc>
        <w:tc>
          <w:tcPr>
            <w:tcW w:w="4849" w:type="dxa"/>
            <w:tcBorders>
              <w:top w:val="nil"/>
              <w:left w:val="nil"/>
              <w:bottom w:val="nil"/>
              <w:right w:val="single" w:sz="8" w:space="0" w:color="999999"/>
            </w:tcBorders>
            <w:noWrap/>
            <w:tcMar>
              <w:top w:w="0" w:type="dxa"/>
              <w:left w:w="70" w:type="dxa"/>
              <w:bottom w:w="0" w:type="dxa"/>
              <w:right w:w="70" w:type="dxa"/>
            </w:tcMar>
            <w:vAlign w:val="bottom"/>
            <w:hideMark/>
          </w:tcPr>
          <w:p w:rsidR="003238D9" w:rsidRDefault="003238D9">
            <w:pPr>
              <w:jc w:val="right"/>
              <w:rPr>
                <w:rFonts w:ascii="Arial" w:hAnsi="Arial" w:cs="Arial"/>
                <w:sz w:val="20"/>
                <w:szCs w:val="20"/>
                <w:lang w:eastAsia="pl-PL"/>
              </w:rPr>
            </w:pPr>
            <w:r>
              <w:rPr>
                <w:rFonts w:ascii="Arial" w:hAnsi="Arial" w:cs="Arial"/>
                <w:sz w:val="20"/>
                <w:szCs w:val="20"/>
                <w:lang w:eastAsia="pl-PL"/>
              </w:rPr>
              <w:t>91</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rFonts w:ascii="Calibri" w:hAnsi="Calibri" w:cs="Calibri"/>
                <w:lang w:eastAsia="pl-PL"/>
              </w:rPr>
            </w:pPr>
            <w:r>
              <w:rPr>
                <w:lang w:eastAsia="pl-PL"/>
              </w:rPr>
              <w:t>Międzynarodowe strefa 3</w:t>
            </w:r>
          </w:p>
        </w:tc>
        <w:tc>
          <w:tcPr>
            <w:tcW w:w="48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238D9" w:rsidRDefault="003238D9">
            <w:pPr>
              <w:jc w:val="right"/>
              <w:rPr>
                <w:lang w:eastAsia="pl-PL"/>
              </w:rPr>
            </w:pPr>
            <w:r>
              <w:rPr>
                <w:lang w:eastAsia="pl-PL"/>
              </w:rPr>
              <w:t>0</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lang w:eastAsia="pl-PL"/>
              </w:rPr>
            </w:pPr>
            <w:r>
              <w:rPr>
                <w:lang w:eastAsia="pl-PL"/>
              </w:rPr>
              <w:t>Międzynarodowe strefa 4</w:t>
            </w:r>
          </w:p>
        </w:tc>
        <w:tc>
          <w:tcPr>
            <w:tcW w:w="4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38D9" w:rsidRDefault="003238D9">
            <w:pPr>
              <w:jc w:val="right"/>
              <w:rPr>
                <w:lang w:eastAsia="pl-PL"/>
              </w:rPr>
            </w:pPr>
            <w:r>
              <w:rPr>
                <w:lang w:eastAsia="pl-PL"/>
              </w:rPr>
              <w:t>0</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lang w:eastAsia="pl-PL"/>
              </w:rPr>
            </w:pPr>
            <w:r>
              <w:rPr>
                <w:lang w:eastAsia="pl-PL"/>
              </w:rPr>
              <w:t>Krajowe stacjonarne</w:t>
            </w:r>
          </w:p>
        </w:tc>
        <w:tc>
          <w:tcPr>
            <w:tcW w:w="4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38D9" w:rsidRDefault="003238D9">
            <w:pPr>
              <w:jc w:val="right"/>
              <w:rPr>
                <w:rFonts w:ascii="Arial" w:hAnsi="Arial" w:cs="Arial"/>
                <w:sz w:val="20"/>
                <w:szCs w:val="20"/>
                <w:lang w:eastAsia="pl-PL"/>
              </w:rPr>
            </w:pPr>
            <w:r>
              <w:rPr>
                <w:rFonts w:ascii="Arial" w:hAnsi="Arial" w:cs="Arial"/>
                <w:sz w:val="20"/>
                <w:szCs w:val="20"/>
                <w:lang w:eastAsia="pl-PL"/>
              </w:rPr>
              <w:t>27378</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rFonts w:ascii="Calibri" w:hAnsi="Calibri" w:cs="Calibri"/>
                <w:lang w:eastAsia="pl-PL"/>
              </w:rPr>
            </w:pPr>
            <w:r>
              <w:rPr>
                <w:lang w:eastAsia="pl-PL"/>
              </w:rPr>
              <w:t>Międzynarodowe strefa 1 komórkowe</w:t>
            </w:r>
          </w:p>
        </w:tc>
        <w:tc>
          <w:tcPr>
            <w:tcW w:w="4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38D9" w:rsidRDefault="003238D9">
            <w:pPr>
              <w:jc w:val="right"/>
              <w:rPr>
                <w:lang w:eastAsia="pl-PL"/>
              </w:rPr>
            </w:pPr>
            <w:r>
              <w:rPr>
                <w:lang w:eastAsia="pl-PL"/>
              </w:rPr>
              <w:t>0</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lang w:eastAsia="pl-PL"/>
              </w:rPr>
            </w:pPr>
            <w:r>
              <w:rPr>
                <w:lang w:eastAsia="pl-PL"/>
              </w:rPr>
              <w:t>Międzynarodowe strefa 2 komórkowe</w:t>
            </w:r>
          </w:p>
        </w:tc>
        <w:tc>
          <w:tcPr>
            <w:tcW w:w="4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38D9" w:rsidRDefault="003238D9">
            <w:pPr>
              <w:jc w:val="right"/>
              <w:rPr>
                <w:rFonts w:ascii="Arial" w:hAnsi="Arial" w:cs="Arial"/>
                <w:sz w:val="20"/>
                <w:szCs w:val="20"/>
                <w:lang w:eastAsia="pl-PL"/>
              </w:rPr>
            </w:pPr>
            <w:r>
              <w:rPr>
                <w:rFonts w:ascii="Arial" w:hAnsi="Arial" w:cs="Arial"/>
                <w:sz w:val="20"/>
                <w:szCs w:val="20"/>
                <w:lang w:eastAsia="pl-PL"/>
              </w:rPr>
              <w:t>5</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rFonts w:ascii="Calibri" w:hAnsi="Calibri" w:cs="Calibri"/>
                <w:lang w:eastAsia="pl-PL"/>
              </w:rPr>
            </w:pPr>
            <w:r>
              <w:rPr>
                <w:lang w:eastAsia="pl-PL"/>
              </w:rPr>
              <w:t>Międzynarodowe strefa 3 komórkowe</w:t>
            </w:r>
          </w:p>
        </w:tc>
        <w:tc>
          <w:tcPr>
            <w:tcW w:w="4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38D9" w:rsidRDefault="003238D9">
            <w:pPr>
              <w:jc w:val="right"/>
              <w:rPr>
                <w:lang w:eastAsia="pl-PL"/>
              </w:rPr>
            </w:pPr>
            <w:r>
              <w:rPr>
                <w:lang w:eastAsia="pl-PL"/>
              </w:rPr>
              <w:t>0</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lang w:eastAsia="pl-PL"/>
              </w:rPr>
            </w:pPr>
            <w:r>
              <w:rPr>
                <w:lang w:eastAsia="pl-PL"/>
              </w:rPr>
              <w:t>Sieci komórkowe</w:t>
            </w:r>
          </w:p>
        </w:tc>
        <w:tc>
          <w:tcPr>
            <w:tcW w:w="4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38D9" w:rsidRDefault="003238D9">
            <w:pPr>
              <w:jc w:val="right"/>
              <w:rPr>
                <w:rFonts w:ascii="Arial" w:hAnsi="Arial" w:cs="Arial"/>
                <w:sz w:val="20"/>
                <w:szCs w:val="20"/>
                <w:lang w:eastAsia="pl-PL"/>
              </w:rPr>
            </w:pPr>
            <w:r>
              <w:rPr>
                <w:rFonts w:ascii="Arial" w:hAnsi="Arial" w:cs="Arial"/>
                <w:sz w:val="20"/>
                <w:szCs w:val="20"/>
                <w:lang w:eastAsia="pl-PL"/>
              </w:rPr>
              <w:t>36532</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rFonts w:ascii="Calibri" w:hAnsi="Calibri" w:cs="Calibri"/>
                <w:lang w:eastAsia="pl-PL"/>
              </w:rPr>
            </w:pPr>
            <w:r>
              <w:rPr>
                <w:lang w:eastAsia="pl-PL"/>
              </w:rPr>
              <w:t>Sieci inteligentne</w:t>
            </w:r>
          </w:p>
        </w:tc>
        <w:tc>
          <w:tcPr>
            <w:tcW w:w="4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38D9" w:rsidRDefault="003238D9">
            <w:pPr>
              <w:jc w:val="right"/>
              <w:rPr>
                <w:rFonts w:ascii="Arial" w:hAnsi="Arial" w:cs="Arial"/>
                <w:sz w:val="20"/>
                <w:szCs w:val="20"/>
                <w:lang w:eastAsia="pl-PL"/>
              </w:rPr>
            </w:pPr>
            <w:r>
              <w:rPr>
                <w:rFonts w:ascii="Arial" w:hAnsi="Arial" w:cs="Arial"/>
                <w:sz w:val="20"/>
                <w:szCs w:val="20"/>
                <w:lang w:eastAsia="pl-PL"/>
              </w:rPr>
              <w:t>975</w:t>
            </w:r>
          </w:p>
        </w:tc>
      </w:tr>
      <w:tr w:rsidR="003238D9" w:rsidTr="003238D9">
        <w:trPr>
          <w:trHeight w:val="191"/>
        </w:trPr>
        <w:tc>
          <w:tcPr>
            <w:tcW w:w="4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38D9" w:rsidRDefault="003238D9">
            <w:pPr>
              <w:jc w:val="both"/>
              <w:rPr>
                <w:rFonts w:ascii="Calibri" w:hAnsi="Calibri" w:cs="Calibri"/>
                <w:lang w:eastAsia="pl-PL"/>
              </w:rPr>
            </w:pPr>
            <w:r>
              <w:rPr>
                <w:lang w:eastAsia="pl-PL"/>
              </w:rPr>
              <w:t>Abonenckich usług specjalnych</w:t>
            </w:r>
          </w:p>
        </w:tc>
        <w:tc>
          <w:tcPr>
            <w:tcW w:w="4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38D9" w:rsidRDefault="003238D9">
            <w:pPr>
              <w:jc w:val="right"/>
              <w:rPr>
                <w:rFonts w:ascii="Arial" w:hAnsi="Arial" w:cs="Arial"/>
                <w:sz w:val="20"/>
                <w:szCs w:val="20"/>
                <w:lang w:eastAsia="pl-PL"/>
              </w:rPr>
            </w:pPr>
            <w:r>
              <w:rPr>
                <w:rFonts w:ascii="Arial" w:hAnsi="Arial" w:cs="Arial"/>
                <w:sz w:val="20"/>
                <w:szCs w:val="20"/>
                <w:lang w:eastAsia="pl-PL"/>
              </w:rPr>
              <w:t>85</w:t>
            </w:r>
          </w:p>
        </w:tc>
      </w:tr>
    </w:tbl>
    <w:p w:rsidR="00680C0C" w:rsidRDefault="00680C0C" w:rsidP="00680C0C">
      <w:pPr>
        <w:jc w:val="both"/>
      </w:pPr>
    </w:p>
    <w:p w:rsidR="00680C0C" w:rsidRDefault="00680C0C" w:rsidP="00680C0C">
      <w:pPr>
        <w:jc w:val="both"/>
      </w:pPr>
      <w:r>
        <w:t>Zakres Stref obecnie posiadających przez Zamawiającego:</w:t>
      </w:r>
    </w:p>
    <w:p w:rsidR="00680C0C" w:rsidRDefault="00680C0C" w:rsidP="00680C0C">
      <w:pPr>
        <w:jc w:val="both"/>
      </w:pPr>
      <w:r>
        <w:t>Strefa 1</w:t>
      </w:r>
    </w:p>
    <w:p w:rsidR="00680C0C" w:rsidRDefault="00680C0C" w:rsidP="00680C0C">
      <w:pPr>
        <w:jc w:val="both"/>
      </w:pPr>
      <w:r>
        <w:t>Z sieciami stacjonarnymi:</w:t>
      </w:r>
    </w:p>
    <w:p w:rsidR="00680C0C" w:rsidRDefault="00680C0C" w:rsidP="00680C0C">
      <w:pPr>
        <w:jc w:val="both"/>
      </w:pPr>
      <w:r>
        <w:lastRenderedPageBreak/>
        <w:t xml:space="preserve"> Andora, Australia, Austria, Belgia, Bułgaria, Chorwacja, Cypr, Czechy, Dania, Estonia, Finlandia, Francja, Niemcy, Gibraltar, Grecja, Hiszpania, Holandia, Islandia, Irlandia, Kanada, Łotwa, Lichtenstein, Litwa, Luxemburg, Malta, Nowa Zelandia, Norwegia, Portugalia, San Marino, Słowacja, Słowenia, Stany Zjednoczone, Szwecja, Szwajcaria, Węgry, Wielka Brytania, Włochy.</w:t>
      </w:r>
    </w:p>
    <w:p w:rsidR="00680C0C" w:rsidRDefault="00680C0C" w:rsidP="00680C0C">
      <w:pPr>
        <w:jc w:val="both"/>
      </w:pPr>
      <w:r>
        <w:t xml:space="preserve">Z sieciami komórkowymi: </w:t>
      </w:r>
    </w:p>
    <w:p w:rsidR="00680C0C" w:rsidRDefault="00680C0C" w:rsidP="00680C0C">
      <w:pPr>
        <w:jc w:val="both"/>
      </w:pPr>
      <w:r>
        <w:t>Kanada, Stany Zjednoczone.</w:t>
      </w:r>
    </w:p>
    <w:p w:rsidR="00680C0C" w:rsidRDefault="00680C0C" w:rsidP="00680C0C">
      <w:pPr>
        <w:jc w:val="both"/>
      </w:pPr>
      <w:r>
        <w:t>Strefa 2</w:t>
      </w:r>
    </w:p>
    <w:p w:rsidR="00680C0C" w:rsidRDefault="00680C0C" w:rsidP="00680C0C">
      <w:pPr>
        <w:jc w:val="both"/>
      </w:pPr>
      <w:r>
        <w:t xml:space="preserve">Z sieciami stacjonarnymi: </w:t>
      </w:r>
    </w:p>
    <w:p w:rsidR="00680C0C" w:rsidRDefault="00680C0C" w:rsidP="00680C0C">
      <w:pPr>
        <w:jc w:val="both"/>
      </w:pPr>
      <w:r>
        <w:t>Albania, Algieria, Argentyna, Armenia, Azerbejdżan, Białoruś, Bośnia i Hercegowina, Brazylia, Chiny, Gruzja, Hongkong, Indie, Izrael, Japonia, Kazachstan, Kirgistan, Korea Południowa, Macedonia, Mołdawia, Monako, Republika Południowej Afryki, Rosja, Rumunia, Serbia i Czarnogóra, Singapur, Tadżykistan, Tajlandia, Tajwan, Turcja, Turkmenistan, Ukraina, Uzbekistan, Wietnam.</w:t>
      </w:r>
    </w:p>
    <w:p w:rsidR="00680C0C" w:rsidRDefault="00680C0C" w:rsidP="00680C0C">
      <w:pPr>
        <w:jc w:val="both"/>
      </w:pPr>
      <w:r>
        <w:t xml:space="preserve">Z sieciami komórkowymi: </w:t>
      </w:r>
    </w:p>
    <w:p w:rsidR="00680C0C" w:rsidRDefault="00680C0C" w:rsidP="00680C0C">
      <w:pPr>
        <w:jc w:val="both"/>
      </w:pPr>
      <w:r>
        <w:t>Albania, Algieria, Argentyna, Australia, Azerbejdżan, Białoruś, Chiny, Chorwacja, Cypr, Czechy, Dania, Finlandia, Francja, Gruzja, Hiszpania, Holandia, Hongkong, Indie, Irlandia, Izrael, Japonia, Kazachstan, Kirgistan, Korea Południowa, Litwa, Luksemburg, Łotwa, Niemcy, Norwegia, Portugalia, Rosja, Singapur, Słowacja, Tadżykistan, Tajlandia, Tajwan, Turcja, Turkmenistan, Ukraina, Uzbekistan, Węgry, Wielka Brytania, Wietnam.</w:t>
      </w:r>
    </w:p>
    <w:p w:rsidR="00680C0C" w:rsidRDefault="00680C0C" w:rsidP="00680C0C">
      <w:pPr>
        <w:jc w:val="both"/>
      </w:pPr>
      <w:r>
        <w:t>Strefa 3</w:t>
      </w:r>
    </w:p>
    <w:p w:rsidR="00680C0C" w:rsidRDefault="00680C0C" w:rsidP="00680C0C">
      <w:pPr>
        <w:jc w:val="both"/>
      </w:pPr>
      <w:r>
        <w:t>Z sieciami stacjonarnymi:</w:t>
      </w:r>
    </w:p>
    <w:p w:rsidR="00680C0C" w:rsidRDefault="00680C0C" w:rsidP="00680C0C">
      <w:pPr>
        <w:jc w:val="both"/>
      </w:pPr>
      <w:r>
        <w:t xml:space="preserve"> Arabia Saudyjska, Bahama, Egipt, Iran, Irak, Jemen, Kuwejt, Libia, Malezja, Maroko, Meksyk, Pakistan, Palestyna, Tunezja, Wyspy Dziewicze Stanów Zjednoczonych, Wyspy Dziewicze Wielkiej Brytanii.</w:t>
      </w:r>
    </w:p>
    <w:p w:rsidR="00680C0C" w:rsidRDefault="00680C0C" w:rsidP="00680C0C">
      <w:pPr>
        <w:jc w:val="both"/>
      </w:pPr>
      <w:r>
        <w:t>Z sieciami komórkowymi:</w:t>
      </w:r>
    </w:p>
    <w:p w:rsidR="00680C0C" w:rsidRDefault="00680C0C" w:rsidP="00680C0C">
      <w:pPr>
        <w:jc w:val="both"/>
      </w:pPr>
      <w:r>
        <w:t xml:space="preserve"> Andora, Arabia Saudyjska, Armenia, Austria, Belgia, Bośnia i Hercegowina, Brazylia, Bułgaria, Egipt, Estonia, Gibraltar, Grecja, Irak, Islandia, Jemen, Kuwejt, Libia, Macedonia, Malezja, Malta, Maroko, Mołdawia, Monako, Nowa Zelandia, Pakistan, Palestyna, Republika Południowej Afryki, Rumunia, Serbia i Czarnogóra, Słowenia, Szwajcaria, Szwecja, Tunezja, Włochy.</w:t>
      </w:r>
    </w:p>
    <w:p w:rsidR="00680C0C" w:rsidRDefault="00680C0C" w:rsidP="00680C0C">
      <w:pPr>
        <w:jc w:val="both"/>
      </w:pPr>
      <w:r>
        <w:t>Strefa 4</w:t>
      </w:r>
    </w:p>
    <w:p w:rsidR="00680C0C" w:rsidRDefault="00680C0C" w:rsidP="00680C0C">
      <w:pPr>
        <w:jc w:val="both"/>
      </w:pPr>
      <w:r>
        <w:t xml:space="preserve">Z sieciami stacjonarnymi: </w:t>
      </w:r>
    </w:p>
    <w:p w:rsidR="00680C0C" w:rsidRDefault="00680C0C" w:rsidP="00680C0C">
      <w:pPr>
        <w:jc w:val="both"/>
      </w:pPr>
      <w:r>
        <w:t xml:space="preserve">Afganistan, Angola, Anguilla, Antarktyka, Antigua i Barbuda, Antyle Holenderskie, Aruba, Australia-Terytoria Zewnętrzne, Bahrajn, Bangladesz, Barbados, Bermudy, Boliwia, Botswana, Brunei, Burkina Faso, Chile, Czad, Dominika, Dominikana, Ekwador, Etiopia, Falklandy, Fidżi, Filipiny, Gana, Grenada, Grenlandia, Gujana, Gujana Francuska, Gwadelupa, Gwatemala, Gwinea, Gwinea Równikowa, Haiti, Honduras, Indonezja, Jamajka, Jordan, Kambodża, Kamerun, Katar, Kenia, Kolumbia, Kongo, Korea Północna, Kostaryka, Laos, Liberia, Madagaskar, Malediwy, Mali, Martynika, Mauretania, Mauritius, </w:t>
      </w:r>
      <w:r>
        <w:lastRenderedPageBreak/>
        <w:t>Mikronezja, Mongolia, Mozambik, Namibia, Nepal, Niger, Nigeria, Nikaragua, Oman, Palau, Panama, Paragwaj, Peru, Polinezja Francuska, Portoryko, Republika Środkowoafrykańska, Rwanda, Samoa Amerykańskia, Senegal, Seszele, Somalia, Sri Lanka, Sudan, Surinam, Syria, Tanzania, Trynidad i Tobago, Uganda, Urugwaj, Wenezuela, Wyspy Marshalla, Zambia, Zimbabwe, Zjednoczone Emiraty Arabskie.</w:t>
      </w:r>
    </w:p>
    <w:p w:rsidR="00680C0C" w:rsidRDefault="00680C0C" w:rsidP="00680C0C">
      <w:pPr>
        <w:jc w:val="both"/>
      </w:pPr>
      <w:r>
        <w:t xml:space="preserve">Z sieciami komórkowymi: </w:t>
      </w:r>
    </w:p>
    <w:p w:rsidR="00680C0C" w:rsidRDefault="00680C0C" w:rsidP="00680C0C">
      <w:pPr>
        <w:jc w:val="both"/>
      </w:pPr>
      <w:r>
        <w:t>Afganistan, Angola, Antigua i Barbuda, Antyle Holenderskie, Aruba, Bahrajn, Bangladesz, Barbados, Bermudy, Boliwia, Botswana, Brunei, Burkina Faso, Chile, Czad, Dominikana, Ekwador, Etiopia, Filipiny, Gana, Grenada, Grenlandia, Gujana, Gujana Francuska, Gwadelupa, Gwatemala, Gwinea, Haiti, Honduras, Indonezja, Iran, Jamajka, Jordan, Kambodża, Kamerun, Katar, Kenia, Kolumbia, Kongo, Kostaryka, Liberia, Lichtenstein, Madagaskar, Mali, Martynika, Mauritius, Mozambik, Namibia, Nepal, Nigeria, Nikaragua, Panama, Paragwaj, Peru, Rwanda, Senegal, Seszele, Sri Lanka, Sudan, Surinam, Syria, Tanzania, Togo, Trynidad i Tobago, Uganda, Urugwaj, Wenezuela, Zambia, Zimbabwe, Zjednoczone Emiraty Arabskie.</w:t>
      </w:r>
    </w:p>
    <w:p w:rsidR="00680C0C" w:rsidRDefault="00680C0C" w:rsidP="00680C0C">
      <w:pPr>
        <w:jc w:val="both"/>
      </w:pPr>
      <w:r>
        <w:t>Strefa 5</w:t>
      </w:r>
    </w:p>
    <w:p w:rsidR="00680C0C" w:rsidRDefault="00680C0C" w:rsidP="00680C0C">
      <w:pPr>
        <w:jc w:val="both"/>
      </w:pPr>
      <w:r>
        <w:t xml:space="preserve">Z sieciami stacjonarnymi: </w:t>
      </w:r>
    </w:p>
    <w:p w:rsidR="00680C0C" w:rsidRDefault="00680C0C" w:rsidP="00680C0C">
      <w:pPr>
        <w:jc w:val="both"/>
      </w:pPr>
      <w:r>
        <w:t>Belize, Benin, Bhutan, Birma, Burundi, Diego Garcia, Dżibuti, Salwador, Erytrea, Gabon, Gambia, Guam, Guantanamo, Gwinea Bissau, Kajmany, Kiribati, Komory, Kuba, Lesotho, Liban, Makau, Malawi, Mariany, Północne, Montserrat, Nauru, Niue, Norfolk, Nowa Kaledonia, Papua Nowa Gwinea, Reunion, Święta Helena, Saint Kitts, Saint Lucia, Saint Pierre i Miquelon, Saint Vincent i Grenadines, Samoa Zachodnia, Wyspy Św. Tomasza i Książęca, Sierra Leone, Suzazi, Togo, Tokelau, Tonga, Turks i Caicos, Tuvalu, Vanuatu, Wallis i Futuna, Wybrzeże Kości Słoniowej, Wyspy Cooka, Wyspy Owcze, Wyspy Salomona, Wyspy Wniebowstąpienia, Wyspy Zielonego Przylądka.</w:t>
      </w:r>
    </w:p>
    <w:p w:rsidR="00680C0C" w:rsidRDefault="00680C0C" w:rsidP="00680C0C">
      <w:pPr>
        <w:jc w:val="both"/>
      </w:pPr>
      <w:r>
        <w:t xml:space="preserve">Z sieciami komórkowymi: </w:t>
      </w:r>
    </w:p>
    <w:p w:rsidR="00680C0C" w:rsidRDefault="00680C0C" w:rsidP="00680C0C">
      <w:pPr>
        <w:jc w:val="both"/>
      </w:pPr>
      <w:r>
        <w:t>Belize, Benin, Birma, Dżibuti, Salwador, Gabon, Gambia, Komory, Kuba, Lesotho, Liban, Makau, Malawi, Papua Nowa Gwinea, Reunion, Saint Lucia, Saint Vincent i Grenadines, Sierra Leone, Vanuatu, Wybrzeże Kości Słoniowej, Wyspy Owcze, Wyspy Zielonego Przylądka.</w:t>
      </w:r>
    </w:p>
    <w:p w:rsidR="0096246D" w:rsidRDefault="0096246D" w:rsidP="00B13721">
      <w:pPr>
        <w:jc w:val="both"/>
      </w:pPr>
    </w:p>
    <w:p w:rsidR="0096246D" w:rsidRPr="00B13721" w:rsidRDefault="0096246D" w:rsidP="00B13721">
      <w:pPr>
        <w:pStyle w:val="Akapitzlist"/>
        <w:numPr>
          <w:ilvl w:val="0"/>
          <w:numId w:val="3"/>
        </w:numPr>
        <w:ind w:left="426"/>
        <w:jc w:val="both"/>
        <w:rPr>
          <w:b/>
          <w:sz w:val="28"/>
          <w:szCs w:val="28"/>
        </w:rPr>
      </w:pPr>
      <w:r w:rsidRPr="00B13721">
        <w:rPr>
          <w:b/>
          <w:sz w:val="28"/>
          <w:szCs w:val="28"/>
        </w:rPr>
        <w:t>Opis sposobu przygotowania oferty</w:t>
      </w:r>
    </w:p>
    <w:p w:rsidR="00B13721" w:rsidRDefault="00B13721" w:rsidP="00B13721">
      <w:pPr>
        <w:jc w:val="both"/>
      </w:pPr>
      <w:r>
        <w:t>Oferent powi</w:t>
      </w:r>
      <w:r w:rsidR="00E60866">
        <w:t>nien stworzyć ofertę</w:t>
      </w:r>
      <w:r>
        <w:t xml:space="preserve"> cenową</w:t>
      </w:r>
      <w:r w:rsidR="00E60866">
        <w:t xml:space="preserve"> która powinna zawierać:</w:t>
      </w:r>
    </w:p>
    <w:p w:rsidR="00E60866" w:rsidRDefault="00E60866" w:rsidP="00E60866">
      <w:pPr>
        <w:pStyle w:val="Akapitzlist"/>
        <w:numPr>
          <w:ilvl w:val="0"/>
          <w:numId w:val="5"/>
        </w:numPr>
        <w:jc w:val="both"/>
      </w:pPr>
      <w:r>
        <w:t>Stawki za połączenia w grupach wymienionych w przedstawionym profilu</w:t>
      </w:r>
      <w:r w:rsidR="002512AD">
        <w:t>.</w:t>
      </w:r>
    </w:p>
    <w:p w:rsidR="0096246D" w:rsidRDefault="00E60866" w:rsidP="00B13721">
      <w:pPr>
        <w:jc w:val="both"/>
      </w:pPr>
      <w:r>
        <w:t>Dla jednoznacznego sposobu ident</w:t>
      </w:r>
      <w:r w:rsidR="007E05AF">
        <w:t xml:space="preserve">yfikacji i uniknięcia błędów w trakcie wyliczania wartości oferty – dla każdej pozycji tabeli </w:t>
      </w:r>
      <w:r w:rsidR="003D1515">
        <w:t>Oferent powinien określić grupę cennikową według której będzie taryfikowany dany ruch, lub wypisać, kwotę za minutę połączenia.</w:t>
      </w:r>
    </w:p>
    <w:p w:rsidR="003D1515" w:rsidRDefault="003D1515" w:rsidP="003D1515">
      <w:pPr>
        <w:pStyle w:val="Akapitzlist"/>
        <w:numPr>
          <w:ilvl w:val="0"/>
          <w:numId w:val="5"/>
        </w:numPr>
        <w:jc w:val="both"/>
      </w:pPr>
      <w:r>
        <w:t>Koszt instalacji usług.</w:t>
      </w:r>
    </w:p>
    <w:p w:rsidR="00D75A03" w:rsidRDefault="00D75A03" w:rsidP="003D1515">
      <w:pPr>
        <w:pStyle w:val="Akapitzlist"/>
        <w:numPr>
          <w:ilvl w:val="0"/>
          <w:numId w:val="5"/>
        </w:numPr>
        <w:jc w:val="both"/>
      </w:pPr>
      <w:r>
        <w:t>Koszty wsparcia.</w:t>
      </w:r>
    </w:p>
    <w:p w:rsidR="003D1515" w:rsidRDefault="003D1515" w:rsidP="003D1515">
      <w:pPr>
        <w:pStyle w:val="Akapitzlist"/>
        <w:numPr>
          <w:ilvl w:val="0"/>
          <w:numId w:val="5"/>
        </w:numPr>
        <w:jc w:val="both"/>
      </w:pPr>
      <w:r>
        <w:t>Koszty abonamentów za usługi</w:t>
      </w:r>
      <w:r w:rsidR="00D75A03">
        <w:t>.</w:t>
      </w:r>
    </w:p>
    <w:p w:rsidR="003D1515" w:rsidRDefault="003D1515" w:rsidP="003D1515">
      <w:pPr>
        <w:pStyle w:val="Akapitzlist"/>
        <w:numPr>
          <w:ilvl w:val="0"/>
          <w:numId w:val="5"/>
        </w:numPr>
        <w:jc w:val="both"/>
      </w:pPr>
      <w:r>
        <w:lastRenderedPageBreak/>
        <w:t>Informacje jaką technologią będą świadczone usługi</w:t>
      </w:r>
      <w:r w:rsidR="00D75A03">
        <w:t>.</w:t>
      </w:r>
    </w:p>
    <w:p w:rsidR="006A583C" w:rsidRDefault="006A583C" w:rsidP="00BE770A">
      <w:pPr>
        <w:jc w:val="both"/>
      </w:pPr>
      <w:r>
        <w:t xml:space="preserve">Jednocześnie zawrzeć w to koszty za </w:t>
      </w:r>
      <w:r w:rsidR="002B5017">
        <w:t xml:space="preserve">korzystanie z </w:t>
      </w:r>
      <w:r>
        <w:t>infrastruktur</w:t>
      </w:r>
      <w:r w:rsidR="002B5017">
        <w:t>y</w:t>
      </w:r>
      <w:r>
        <w:t xml:space="preserve"> </w:t>
      </w:r>
      <w:r w:rsidR="00D75A03">
        <w:t>b</w:t>
      </w:r>
      <w:r w:rsidR="003D34A0">
        <w:t>udynku.</w:t>
      </w:r>
    </w:p>
    <w:p w:rsidR="00BE0A75" w:rsidRDefault="00BE0A75" w:rsidP="00723F28">
      <w:pPr>
        <w:jc w:val="both"/>
      </w:pPr>
      <w:bookmarkStart w:id="0" w:name="_GoBack"/>
      <w:bookmarkEnd w:id="0"/>
    </w:p>
    <w:sectPr w:rsidR="00BE0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26" w:rsidRDefault="00DC5F26" w:rsidP="00DC5F26">
      <w:pPr>
        <w:spacing w:after="0" w:line="240" w:lineRule="auto"/>
      </w:pPr>
      <w:r>
        <w:separator/>
      </w:r>
    </w:p>
  </w:endnote>
  <w:endnote w:type="continuationSeparator" w:id="0">
    <w:p w:rsidR="00DC5F26" w:rsidRDefault="00DC5F26" w:rsidP="00DC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26" w:rsidRDefault="00DC5F26" w:rsidP="00DC5F26">
      <w:pPr>
        <w:spacing w:after="0" w:line="240" w:lineRule="auto"/>
      </w:pPr>
      <w:r>
        <w:separator/>
      </w:r>
    </w:p>
  </w:footnote>
  <w:footnote w:type="continuationSeparator" w:id="0">
    <w:p w:rsidR="00DC5F26" w:rsidRDefault="00DC5F26" w:rsidP="00DC5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109"/>
    <w:multiLevelType w:val="hybridMultilevel"/>
    <w:tmpl w:val="1A82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10F58"/>
    <w:multiLevelType w:val="hybridMultilevel"/>
    <w:tmpl w:val="92F68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3E2729"/>
    <w:multiLevelType w:val="hybridMultilevel"/>
    <w:tmpl w:val="342AB0A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AC04C7"/>
    <w:multiLevelType w:val="hybridMultilevel"/>
    <w:tmpl w:val="CAB64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344A54"/>
    <w:multiLevelType w:val="hybridMultilevel"/>
    <w:tmpl w:val="95C88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917151"/>
    <w:multiLevelType w:val="hybridMultilevel"/>
    <w:tmpl w:val="2DCC3F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6443DC"/>
    <w:multiLevelType w:val="hybridMultilevel"/>
    <w:tmpl w:val="1D1872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299207E"/>
    <w:multiLevelType w:val="hybridMultilevel"/>
    <w:tmpl w:val="92ECD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746247"/>
    <w:multiLevelType w:val="hybridMultilevel"/>
    <w:tmpl w:val="10E47CC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7B5D0492"/>
    <w:multiLevelType w:val="hybridMultilevel"/>
    <w:tmpl w:val="0CFEE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0"/>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18"/>
    <w:rsid w:val="00020318"/>
    <w:rsid w:val="00043E10"/>
    <w:rsid w:val="000C2C52"/>
    <w:rsid w:val="00177B43"/>
    <w:rsid w:val="002512AD"/>
    <w:rsid w:val="002559C0"/>
    <w:rsid w:val="002B5017"/>
    <w:rsid w:val="003105DD"/>
    <w:rsid w:val="003238D9"/>
    <w:rsid w:val="00335707"/>
    <w:rsid w:val="00397291"/>
    <w:rsid w:val="003D1515"/>
    <w:rsid w:val="003D34A0"/>
    <w:rsid w:val="004B6D77"/>
    <w:rsid w:val="00582544"/>
    <w:rsid w:val="0061449F"/>
    <w:rsid w:val="00671493"/>
    <w:rsid w:val="00680C0C"/>
    <w:rsid w:val="00686167"/>
    <w:rsid w:val="006A583C"/>
    <w:rsid w:val="006B31C2"/>
    <w:rsid w:val="00723F28"/>
    <w:rsid w:val="007449FC"/>
    <w:rsid w:val="007E05AF"/>
    <w:rsid w:val="00826E14"/>
    <w:rsid w:val="00855218"/>
    <w:rsid w:val="00890642"/>
    <w:rsid w:val="008F7EE2"/>
    <w:rsid w:val="0096246D"/>
    <w:rsid w:val="009857F0"/>
    <w:rsid w:val="00A77C68"/>
    <w:rsid w:val="00A77CCB"/>
    <w:rsid w:val="00AF5778"/>
    <w:rsid w:val="00B07F44"/>
    <w:rsid w:val="00B13721"/>
    <w:rsid w:val="00B842A1"/>
    <w:rsid w:val="00BE0A75"/>
    <w:rsid w:val="00BE770A"/>
    <w:rsid w:val="00C430F9"/>
    <w:rsid w:val="00CB39B2"/>
    <w:rsid w:val="00D75A03"/>
    <w:rsid w:val="00DC5F26"/>
    <w:rsid w:val="00E60866"/>
    <w:rsid w:val="00F52E34"/>
    <w:rsid w:val="00FE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2098"/>
  <w15:docId w15:val="{0EA777ED-6F21-4F68-8D54-328465F9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0318"/>
    <w:pPr>
      <w:ind w:left="720"/>
      <w:contextualSpacing/>
    </w:pPr>
  </w:style>
  <w:style w:type="paragraph" w:styleId="Nagwek">
    <w:name w:val="header"/>
    <w:basedOn w:val="Normalny"/>
    <w:link w:val="NagwekZnak"/>
    <w:uiPriority w:val="99"/>
    <w:unhideWhenUsed/>
    <w:rsid w:val="00DC5F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F26"/>
  </w:style>
  <w:style w:type="paragraph" w:styleId="Stopka">
    <w:name w:val="footer"/>
    <w:basedOn w:val="Normalny"/>
    <w:link w:val="StopkaZnak"/>
    <w:uiPriority w:val="99"/>
    <w:unhideWhenUsed/>
    <w:rsid w:val="00DC5F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F26"/>
  </w:style>
  <w:style w:type="table" w:styleId="Tabela-Siatka">
    <w:name w:val="Table Grid"/>
    <w:basedOn w:val="Standardowy"/>
    <w:uiPriority w:val="59"/>
    <w:rsid w:val="00A7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8919">
      <w:bodyDiv w:val="1"/>
      <w:marLeft w:val="0"/>
      <w:marRight w:val="0"/>
      <w:marTop w:val="0"/>
      <w:marBottom w:val="0"/>
      <w:divBdr>
        <w:top w:val="none" w:sz="0" w:space="0" w:color="auto"/>
        <w:left w:val="none" w:sz="0" w:space="0" w:color="auto"/>
        <w:bottom w:val="none" w:sz="0" w:space="0" w:color="auto"/>
        <w:right w:val="none" w:sz="0" w:space="0" w:color="auto"/>
      </w:divBdr>
    </w:div>
    <w:div w:id="720135370">
      <w:bodyDiv w:val="1"/>
      <w:marLeft w:val="0"/>
      <w:marRight w:val="0"/>
      <w:marTop w:val="0"/>
      <w:marBottom w:val="0"/>
      <w:divBdr>
        <w:top w:val="none" w:sz="0" w:space="0" w:color="auto"/>
        <w:left w:val="none" w:sz="0" w:space="0" w:color="auto"/>
        <w:bottom w:val="none" w:sz="0" w:space="0" w:color="auto"/>
        <w:right w:val="none" w:sz="0" w:space="0" w:color="auto"/>
      </w:divBdr>
    </w:div>
    <w:div w:id="10723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883</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Stefanowicz</dc:creator>
  <cp:lastModifiedBy>Piotr Sosnowski</cp:lastModifiedBy>
  <cp:revision>6</cp:revision>
  <cp:lastPrinted>2018-03-08T07:57:00Z</cp:lastPrinted>
  <dcterms:created xsi:type="dcterms:W3CDTF">2020-06-04T11:35:00Z</dcterms:created>
  <dcterms:modified xsi:type="dcterms:W3CDTF">2020-06-26T12:39:00Z</dcterms:modified>
</cp:coreProperties>
</file>