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01" w:rsidRPr="0018161F" w:rsidRDefault="00D60501" w:rsidP="00D60501">
      <w:pPr>
        <w:spacing w:line="276" w:lineRule="auto"/>
        <w:jc w:val="left"/>
        <w:rPr>
          <w:sz w:val="22"/>
          <w:szCs w:val="22"/>
        </w:rPr>
      </w:pPr>
      <w:r w:rsidRPr="0018161F">
        <w:rPr>
          <w:sz w:val="22"/>
          <w:szCs w:val="22"/>
        </w:rPr>
        <w:t>Michał Sitek, Jędrzej Stasiowski</w:t>
      </w:r>
    </w:p>
    <w:p w:rsidR="00D60501" w:rsidRPr="0018161F" w:rsidRDefault="00D60501" w:rsidP="00D60501">
      <w:pPr>
        <w:spacing w:line="276" w:lineRule="auto"/>
        <w:jc w:val="left"/>
        <w:rPr>
          <w:sz w:val="22"/>
          <w:szCs w:val="22"/>
        </w:rPr>
      </w:pPr>
    </w:p>
    <w:p w:rsidR="00D60501" w:rsidRDefault="00D60501" w:rsidP="00D60501">
      <w:pPr>
        <w:spacing w:line="276" w:lineRule="auto"/>
        <w:jc w:val="left"/>
        <w:rPr>
          <w:sz w:val="28"/>
          <w:szCs w:val="28"/>
        </w:rPr>
      </w:pPr>
      <w:r w:rsidRPr="0018161F">
        <w:rPr>
          <w:b/>
          <w:sz w:val="28"/>
          <w:szCs w:val="28"/>
        </w:rPr>
        <w:t xml:space="preserve">Losy edukacyjne i zawodowe absolwentów techników i zasadniczych szkół zawodowych  </w:t>
      </w:r>
      <w:r w:rsidRPr="0018161F">
        <w:rPr>
          <w:sz w:val="28"/>
          <w:szCs w:val="28"/>
        </w:rPr>
        <w:t xml:space="preserve"> </w:t>
      </w:r>
    </w:p>
    <w:p w:rsidR="00B600C1" w:rsidRDefault="00B600C1" w:rsidP="00D60501">
      <w:pPr>
        <w:spacing w:line="276" w:lineRule="auto"/>
        <w:jc w:val="left"/>
        <w:rPr>
          <w:sz w:val="28"/>
          <w:szCs w:val="28"/>
        </w:rPr>
      </w:pPr>
    </w:p>
    <w:p w:rsidR="00B600C1" w:rsidRDefault="00B600C1" w:rsidP="00B600C1">
      <w:pPr>
        <w:spacing w:line="276" w:lineRule="auto"/>
      </w:pPr>
      <w:r w:rsidRPr="00B600C1">
        <w:t>W rozdziale przedstawiono główne wyniki pilotażowej rundy ogólnopolskiego badania absolwentów szkół zawodowych zrealizowanego przez Instytut Badań Edukacyjnych w latach 2015–2017. Badanie to umożliwiło odtworzenie historii zawodowej i edukacyjnej absolwentów w trakcie 22 miesięcy po zakończeniu nauki, analizę danych dotyczących różnych aspektów zatrudnienia, wynagrodzenia i satysfakcji z pracy. Wyniki pokazują znaczne zróżnicowanie sytuacji absolwentów zasadniczych szkół zawodowych i techników, na co wpływa przede wszystkim kontynuowanie nauki przez absolwentów techników na studiach. Absolwenci, którzy podejmują pracę, rzadko zmieniają pracodawcę. Na różnice w ścieżkach zawodowo-edukacyjnych w niewielkim stopniu wpływa obszar kształcenia. W pewnym stopniu przekłada się on natomiast na różnice w zarobkach, zgodność wykonywanej pracy z wykształceniem oraz satysfakcję z pracy</w:t>
      </w:r>
      <w:r>
        <w:t>.</w:t>
      </w:r>
    </w:p>
    <w:p w:rsidR="00B600C1" w:rsidRPr="00B600C1" w:rsidRDefault="00B600C1" w:rsidP="00B600C1">
      <w:pPr>
        <w:spacing w:line="276" w:lineRule="auto"/>
      </w:pPr>
      <w:bookmarkStart w:id="0" w:name="_GoBack"/>
      <w:bookmarkEnd w:id="0"/>
    </w:p>
    <w:p w:rsidR="00B600C1" w:rsidRPr="00B600C1" w:rsidRDefault="00B600C1" w:rsidP="00B600C1">
      <w:pPr>
        <w:spacing w:line="276" w:lineRule="auto"/>
        <w:rPr>
          <w:b/>
        </w:rPr>
      </w:pPr>
      <w:r w:rsidRPr="00B600C1">
        <w:rPr>
          <w:b/>
        </w:rPr>
        <w:t>Słowa kluczowe:</w:t>
      </w:r>
    </w:p>
    <w:p w:rsidR="00B600C1" w:rsidRPr="00B600C1" w:rsidRDefault="00B600C1" w:rsidP="00B600C1">
      <w:pPr>
        <w:spacing w:line="276" w:lineRule="auto"/>
      </w:pPr>
      <w:r w:rsidRPr="00B600C1">
        <w:t>losy absolwentów</w:t>
      </w:r>
    </w:p>
    <w:p w:rsidR="00B600C1" w:rsidRPr="00B600C1" w:rsidRDefault="00B600C1" w:rsidP="00B600C1">
      <w:pPr>
        <w:spacing w:line="276" w:lineRule="auto"/>
      </w:pPr>
      <w:r w:rsidRPr="00B600C1">
        <w:t>przejście z edukacji na rynek pracy</w:t>
      </w:r>
    </w:p>
    <w:p w:rsidR="00B600C1" w:rsidRDefault="00B600C1" w:rsidP="00B600C1">
      <w:pPr>
        <w:spacing w:line="276" w:lineRule="auto"/>
      </w:pPr>
      <w:r w:rsidRPr="00B600C1">
        <w:t>kształcenie zawodowe</w:t>
      </w:r>
    </w:p>
    <w:p w:rsidR="00B600C1" w:rsidRDefault="00B600C1" w:rsidP="00B600C1">
      <w:pPr>
        <w:spacing w:line="276" w:lineRule="auto"/>
      </w:pPr>
    </w:p>
    <w:p w:rsidR="00B600C1" w:rsidRDefault="00B600C1" w:rsidP="00B600C1">
      <w:pPr>
        <w:spacing w:line="276" w:lineRule="auto"/>
        <w:rPr>
          <w:b/>
          <w:sz w:val="28"/>
          <w:szCs w:val="28"/>
        </w:rPr>
      </w:pPr>
      <w:proofErr w:type="spellStart"/>
      <w:r w:rsidRPr="00B600C1">
        <w:rPr>
          <w:b/>
          <w:sz w:val="28"/>
          <w:szCs w:val="28"/>
        </w:rPr>
        <w:t>Educational</w:t>
      </w:r>
      <w:proofErr w:type="spellEnd"/>
      <w:r w:rsidRPr="00B600C1">
        <w:rPr>
          <w:b/>
          <w:sz w:val="28"/>
          <w:szCs w:val="28"/>
        </w:rPr>
        <w:t xml:space="preserve"> and </w:t>
      </w:r>
      <w:proofErr w:type="spellStart"/>
      <w:r w:rsidRPr="00B600C1">
        <w:rPr>
          <w:b/>
          <w:sz w:val="28"/>
          <w:szCs w:val="28"/>
        </w:rPr>
        <w:t>labour</w:t>
      </w:r>
      <w:proofErr w:type="spellEnd"/>
      <w:r w:rsidRPr="00B600C1">
        <w:rPr>
          <w:b/>
          <w:sz w:val="28"/>
          <w:szCs w:val="28"/>
        </w:rPr>
        <w:t xml:space="preserve"> market </w:t>
      </w:r>
      <w:proofErr w:type="spellStart"/>
      <w:r w:rsidRPr="00B600C1">
        <w:rPr>
          <w:b/>
          <w:sz w:val="28"/>
          <w:szCs w:val="28"/>
        </w:rPr>
        <w:t>careers</w:t>
      </w:r>
      <w:proofErr w:type="spellEnd"/>
      <w:r w:rsidRPr="00B600C1">
        <w:rPr>
          <w:b/>
          <w:sz w:val="28"/>
          <w:szCs w:val="28"/>
        </w:rPr>
        <w:t xml:space="preserve"> of </w:t>
      </w:r>
      <w:proofErr w:type="spellStart"/>
      <w:r w:rsidRPr="00B600C1">
        <w:rPr>
          <w:b/>
          <w:sz w:val="28"/>
          <w:szCs w:val="28"/>
        </w:rPr>
        <w:t>graduates</w:t>
      </w:r>
      <w:proofErr w:type="spellEnd"/>
      <w:r w:rsidRPr="00B600C1">
        <w:rPr>
          <w:b/>
          <w:sz w:val="28"/>
          <w:szCs w:val="28"/>
        </w:rPr>
        <w:t xml:space="preserve"> of </w:t>
      </w:r>
      <w:proofErr w:type="spellStart"/>
      <w:r w:rsidRPr="00B600C1">
        <w:rPr>
          <w:b/>
          <w:sz w:val="28"/>
          <w:szCs w:val="28"/>
        </w:rPr>
        <w:t>technical</w:t>
      </w:r>
      <w:proofErr w:type="spellEnd"/>
      <w:r w:rsidRPr="00B600C1">
        <w:rPr>
          <w:b/>
          <w:sz w:val="28"/>
          <w:szCs w:val="28"/>
        </w:rPr>
        <w:t xml:space="preserve"> and </w:t>
      </w:r>
      <w:proofErr w:type="spellStart"/>
      <w:r w:rsidRPr="00B600C1">
        <w:rPr>
          <w:b/>
          <w:sz w:val="28"/>
          <w:szCs w:val="28"/>
        </w:rPr>
        <w:t>basic</w:t>
      </w:r>
      <w:proofErr w:type="spellEnd"/>
      <w:r w:rsidRPr="00B600C1">
        <w:rPr>
          <w:b/>
          <w:sz w:val="28"/>
          <w:szCs w:val="28"/>
        </w:rPr>
        <w:t xml:space="preserve"> </w:t>
      </w:r>
      <w:proofErr w:type="spellStart"/>
      <w:r w:rsidRPr="00B600C1">
        <w:rPr>
          <w:b/>
          <w:sz w:val="28"/>
          <w:szCs w:val="28"/>
        </w:rPr>
        <w:t>vocational</w:t>
      </w:r>
      <w:proofErr w:type="spellEnd"/>
      <w:r w:rsidRPr="00B600C1">
        <w:rPr>
          <w:b/>
          <w:sz w:val="28"/>
          <w:szCs w:val="28"/>
        </w:rPr>
        <w:t xml:space="preserve"> </w:t>
      </w:r>
      <w:proofErr w:type="spellStart"/>
      <w:r w:rsidRPr="00B600C1">
        <w:rPr>
          <w:b/>
          <w:sz w:val="28"/>
          <w:szCs w:val="28"/>
        </w:rPr>
        <w:t>schools</w:t>
      </w:r>
      <w:proofErr w:type="spellEnd"/>
    </w:p>
    <w:p w:rsidR="00B600C1" w:rsidRDefault="00B600C1" w:rsidP="00B600C1">
      <w:pPr>
        <w:spacing w:line="276" w:lineRule="auto"/>
        <w:rPr>
          <w:b/>
          <w:sz w:val="28"/>
          <w:szCs w:val="28"/>
        </w:rPr>
      </w:pPr>
    </w:p>
    <w:p w:rsidR="00B600C1" w:rsidRPr="00B600C1" w:rsidRDefault="00B600C1" w:rsidP="00B600C1">
      <w:pPr>
        <w:spacing w:line="276" w:lineRule="auto"/>
      </w:pPr>
      <w:r w:rsidRPr="00B600C1">
        <w:t xml:space="preserve">The </w:t>
      </w:r>
      <w:proofErr w:type="spellStart"/>
      <w:r w:rsidRPr="00B600C1">
        <w:t>chapter</w:t>
      </w:r>
      <w:proofErr w:type="spellEnd"/>
      <w:r w:rsidRPr="00B600C1">
        <w:t xml:space="preserve"> </w:t>
      </w:r>
      <w:proofErr w:type="spellStart"/>
      <w:r w:rsidRPr="00B600C1">
        <w:t>presents</w:t>
      </w:r>
      <w:proofErr w:type="spellEnd"/>
      <w:r w:rsidRPr="00B600C1">
        <w:t xml:space="preserve"> </w:t>
      </w:r>
      <w:proofErr w:type="spellStart"/>
      <w:r w:rsidRPr="00B600C1">
        <w:t>main</w:t>
      </w:r>
      <w:proofErr w:type="spellEnd"/>
      <w:r w:rsidRPr="00B600C1">
        <w:t xml:space="preserve"> </w:t>
      </w:r>
      <w:proofErr w:type="spellStart"/>
      <w:r w:rsidRPr="00B600C1">
        <w:t>results</w:t>
      </w:r>
      <w:proofErr w:type="spellEnd"/>
      <w:r w:rsidRPr="00B600C1">
        <w:t xml:space="preserve"> of the pilot </w:t>
      </w:r>
      <w:proofErr w:type="spellStart"/>
      <w:r w:rsidRPr="00B600C1">
        <w:t>graduate</w:t>
      </w:r>
      <w:proofErr w:type="spellEnd"/>
      <w:r w:rsidRPr="00B600C1">
        <w:t xml:space="preserve"> </w:t>
      </w:r>
      <w:proofErr w:type="spellStart"/>
      <w:r w:rsidRPr="00B600C1">
        <w:t>tracer</w:t>
      </w:r>
      <w:proofErr w:type="spellEnd"/>
      <w:r w:rsidRPr="00B600C1">
        <w:t xml:space="preserve"> </w:t>
      </w:r>
      <w:proofErr w:type="spellStart"/>
      <w:r w:rsidRPr="00B600C1">
        <w:t>study</w:t>
      </w:r>
      <w:proofErr w:type="spellEnd"/>
      <w:r w:rsidRPr="00B600C1">
        <w:t xml:space="preserve"> </w:t>
      </w:r>
      <w:proofErr w:type="spellStart"/>
      <w:r w:rsidRPr="00B600C1">
        <w:t>conducted</w:t>
      </w:r>
      <w:proofErr w:type="spellEnd"/>
      <w:r w:rsidRPr="00B600C1">
        <w:t xml:space="preserve"> </w:t>
      </w:r>
      <w:proofErr w:type="spellStart"/>
      <w:r w:rsidRPr="00B600C1">
        <w:t>among</w:t>
      </w:r>
      <w:proofErr w:type="spellEnd"/>
      <w:r w:rsidRPr="00B600C1">
        <w:t xml:space="preserve"> </w:t>
      </w:r>
      <w:proofErr w:type="spellStart"/>
      <w:r w:rsidRPr="00B600C1">
        <w:t>graduates</w:t>
      </w:r>
      <w:proofErr w:type="spellEnd"/>
      <w:r w:rsidRPr="00B600C1">
        <w:t xml:space="preserve"> of </w:t>
      </w:r>
      <w:proofErr w:type="spellStart"/>
      <w:r w:rsidRPr="00B600C1">
        <w:t>vocational</w:t>
      </w:r>
      <w:proofErr w:type="spellEnd"/>
      <w:r w:rsidRPr="00B600C1">
        <w:t xml:space="preserve"> </w:t>
      </w:r>
      <w:proofErr w:type="spellStart"/>
      <w:r w:rsidRPr="00B600C1">
        <w:t>schools</w:t>
      </w:r>
      <w:proofErr w:type="spellEnd"/>
      <w:r w:rsidRPr="00B600C1">
        <w:t xml:space="preserve"> in Poland by the </w:t>
      </w:r>
      <w:proofErr w:type="spellStart"/>
      <w:r w:rsidRPr="00B600C1">
        <w:t>Educational</w:t>
      </w:r>
      <w:proofErr w:type="spellEnd"/>
      <w:r w:rsidRPr="00B600C1">
        <w:t xml:space="preserve"> </w:t>
      </w:r>
      <w:proofErr w:type="spellStart"/>
      <w:r w:rsidRPr="00B600C1">
        <w:t>Research</w:t>
      </w:r>
      <w:proofErr w:type="spellEnd"/>
      <w:r w:rsidRPr="00B600C1">
        <w:t xml:space="preserve"> </w:t>
      </w:r>
      <w:proofErr w:type="spellStart"/>
      <w:r w:rsidRPr="00B600C1">
        <w:t>Institute</w:t>
      </w:r>
      <w:proofErr w:type="spellEnd"/>
      <w:r w:rsidRPr="00B600C1">
        <w:t xml:space="preserve"> in the </w:t>
      </w:r>
      <w:proofErr w:type="spellStart"/>
      <w:r w:rsidRPr="00B600C1">
        <w:t>years</w:t>
      </w:r>
      <w:proofErr w:type="spellEnd"/>
      <w:r w:rsidRPr="00B600C1">
        <w:t xml:space="preserve"> 2015–2017. </w:t>
      </w:r>
      <w:proofErr w:type="spellStart"/>
      <w:r w:rsidRPr="00B600C1">
        <w:t>Educational</w:t>
      </w:r>
      <w:proofErr w:type="spellEnd"/>
      <w:r w:rsidRPr="00B600C1">
        <w:t xml:space="preserve"> and </w:t>
      </w:r>
      <w:proofErr w:type="spellStart"/>
      <w:r w:rsidRPr="00B600C1">
        <w:t>occupational</w:t>
      </w:r>
      <w:proofErr w:type="spellEnd"/>
      <w:r w:rsidRPr="00B600C1">
        <w:t xml:space="preserve"> </w:t>
      </w:r>
      <w:proofErr w:type="spellStart"/>
      <w:r w:rsidRPr="00B600C1">
        <w:t>histories</w:t>
      </w:r>
      <w:proofErr w:type="spellEnd"/>
      <w:r w:rsidRPr="00B600C1">
        <w:t xml:space="preserve"> of the </w:t>
      </w:r>
      <w:proofErr w:type="spellStart"/>
      <w:r w:rsidRPr="00B600C1">
        <w:t>first</w:t>
      </w:r>
      <w:proofErr w:type="spellEnd"/>
      <w:r w:rsidRPr="00B600C1">
        <w:t xml:space="preserve"> 22 </w:t>
      </w:r>
      <w:proofErr w:type="spellStart"/>
      <w:r w:rsidRPr="00B600C1">
        <w:t>months</w:t>
      </w:r>
      <w:proofErr w:type="spellEnd"/>
      <w:r w:rsidRPr="00B600C1">
        <w:t xml:space="preserve"> </w:t>
      </w:r>
      <w:proofErr w:type="spellStart"/>
      <w:r w:rsidRPr="00B600C1">
        <w:t>after</w:t>
      </w:r>
      <w:proofErr w:type="spellEnd"/>
      <w:r w:rsidRPr="00B600C1">
        <w:t xml:space="preserve"> </w:t>
      </w:r>
      <w:proofErr w:type="spellStart"/>
      <w:r w:rsidRPr="00B600C1">
        <w:t>graduation</w:t>
      </w:r>
      <w:proofErr w:type="spellEnd"/>
      <w:r w:rsidRPr="00B600C1">
        <w:t xml:space="preserve"> </w:t>
      </w:r>
      <w:proofErr w:type="spellStart"/>
      <w:r w:rsidRPr="00B600C1">
        <w:t>were</w:t>
      </w:r>
      <w:proofErr w:type="spellEnd"/>
      <w:r w:rsidRPr="00B600C1">
        <w:t xml:space="preserve"> </w:t>
      </w:r>
      <w:proofErr w:type="spellStart"/>
      <w:r w:rsidRPr="00B600C1">
        <w:t>reconstructed</w:t>
      </w:r>
      <w:proofErr w:type="spellEnd"/>
      <w:r w:rsidRPr="00B600C1">
        <w:t xml:space="preserve"> and </w:t>
      </w:r>
      <w:proofErr w:type="spellStart"/>
      <w:r w:rsidRPr="00B600C1">
        <w:t>analyses</w:t>
      </w:r>
      <w:proofErr w:type="spellEnd"/>
      <w:r w:rsidRPr="00B600C1">
        <w:t xml:space="preserve"> of </w:t>
      </w:r>
      <w:proofErr w:type="spellStart"/>
      <w:r w:rsidRPr="00B600C1">
        <w:t>different</w:t>
      </w:r>
      <w:proofErr w:type="spellEnd"/>
      <w:r w:rsidRPr="00B600C1">
        <w:t xml:space="preserve"> </w:t>
      </w:r>
      <w:proofErr w:type="spellStart"/>
      <w:r w:rsidRPr="00B600C1">
        <w:t>aspects</w:t>
      </w:r>
      <w:proofErr w:type="spellEnd"/>
      <w:r w:rsidRPr="00B600C1">
        <w:t xml:space="preserve"> of </w:t>
      </w:r>
      <w:proofErr w:type="spellStart"/>
      <w:r w:rsidRPr="00B600C1">
        <w:t>employment</w:t>
      </w:r>
      <w:proofErr w:type="spellEnd"/>
      <w:r w:rsidRPr="00B600C1">
        <w:t xml:space="preserve">, </w:t>
      </w:r>
      <w:proofErr w:type="spellStart"/>
      <w:r w:rsidRPr="00B600C1">
        <w:t>earnings</w:t>
      </w:r>
      <w:proofErr w:type="spellEnd"/>
      <w:r w:rsidRPr="00B600C1">
        <w:t xml:space="preserve"> and </w:t>
      </w:r>
      <w:proofErr w:type="spellStart"/>
      <w:r w:rsidRPr="00B600C1">
        <w:t>job</w:t>
      </w:r>
      <w:proofErr w:type="spellEnd"/>
      <w:r w:rsidRPr="00B600C1">
        <w:t xml:space="preserve"> </w:t>
      </w:r>
      <w:proofErr w:type="spellStart"/>
      <w:r w:rsidRPr="00B600C1">
        <w:t>satisfaction</w:t>
      </w:r>
      <w:proofErr w:type="spellEnd"/>
      <w:r w:rsidRPr="00B600C1">
        <w:t xml:space="preserve">. The </w:t>
      </w:r>
      <w:proofErr w:type="spellStart"/>
      <w:r w:rsidRPr="00B600C1">
        <w:t>results</w:t>
      </w:r>
      <w:proofErr w:type="spellEnd"/>
      <w:r w:rsidRPr="00B600C1">
        <w:t xml:space="preserve"> </w:t>
      </w:r>
      <w:proofErr w:type="spellStart"/>
      <w:r w:rsidRPr="00B600C1">
        <w:t>shown</w:t>
      </w:r>
      <w:proofErr w:type="spellEnd"/>
      <w:r w:rsidRPr="00B600C1">
        <w:t xml:space="preserve"> </w:t>
      </w:r>
      <w:proofErr w:type="spellStart"/>
      <w:r w:rsidRPr="00B600C1">
        <w:t>substantial</w:t>
      </w:r>
      <w:proofErr w:type="spellEnd"/>
      <w:r w:rsidRPr="00B600C1">
        <w:t xml:space="preserve"> </w:t>
      </w:r>
      <w:proofErr w:type="spellStart"/>
      <w:r w:rsidRPr="00B600C1">
        <w:t>differences</w:t>
      </w:r>
      <w:proofErr w:type="spellEnd"/>
      <w:r w:rsidRPr="00B600C1">
        <w:t xml:space="preserve"> </w:t>
      </w:r>
      <w:proofErr w:type="spellStart"/>
      <w:r w:rsidRPr="00B600C1">
        <w:t>among</w:t>
      </w:r>
      <w:proofErr w:type="spellEnd"/>
      <w:r w:rsidRPr="00B600C1">
        <w:t xml:space="preserve"> </w:t>
      </w:r>
      <w:proofErr w:type="spellStart"/>
      <w:r w:rsidRPr="00B600C1">
        <w:t>graduates</w:t>
      </w:r>
      <w:proofErr w:type="spellEnd"/>
      <w:r w:rsidRPr="00B600C1">
        <w:t xml:space="preserve"> of </w:t>
      </w:r>
      <w:proofErr w:type="spellStart"/>
      <w:r w:rsidRPr="00B600C1">
        <w:t>basic</w:t>
      </w:r>
      <w:proofErr w:type="spellEnd"/>
      <w:r w:rsidRPr="00B600C1">
        <w:t xml:space="preserve"> </w:t>
      </w:r>
      <w:proofErr w:type="spellStart"/>
      <w:r w:rsidRPr="00B600C1">
        <w:t>vocational</w:t>
      </w:r>
      <w:proofErr w:type="spellEnd"/>
      <w:r w:rsidRPr="00B600C1">
        <w:t xml:space="preserve"> </w:t>
      </w:r>
      <w:proofErr w:type="spellStart"/>
      <w:r w:rsidRPr="00B600C1">
        <w:t>schools</w:t>
      </w:r>
      <w:proofErr w:type="spellEnd"/>
      <w:r w:rsidRPr="00B600C1">
        <w:t xml:space="preserve"> and </w:t>
      </w:r>
      <w:proofErr w:type="spellStart"/>
      <w:r w:rsidRPr="00B600C1">
        <w:t>technical</w:t>
      </w:r>
      <w:proofErr w:type="spellEnd"/>
      <w:r w:rsidRPr="00B600C1">
        <w:t xml:space="preserve"> </w:t>
      </w:r>
      <w:proofErr w:type="spellStart"/>
      <w:r w:rsidRPr="00B600C1">
        <w:t>schools</w:t>
      </w:r>
      <w:proofErr w:type="spellEnd"/>
      <w:r w:rsidRPr="00B600C1">
        <w:t xml:space="preserve"> </w:t>
      </w:r>
      <w:proofErr w:type="spellStart"/>
      <w:r w:rsidRPr="00B600C1">
        <w:t>that</w:t>
      </w:r>
      <w:proofErr w:type="spellEnd"/>
      <w:r w:rsidRPr="00B600C1">
        <w:t xml:space="preserve"> </w:t>
      </w:r>
      <w:proofErr w:type="spellStart"/>
      <w:r w:rsidRPr="00B600C1">
        <w:t>are</w:t>
      </w:r>
      <w:proofErr w:type="spellEnd"/>
      <w:r w:rsidRPr="00B600C1">
        <w:t xml:space="preserve"> </w:t>
      </w:r>
      <w:proofErr w:type="spellStart"/>
      <w:r w:rsidRPr="00B600C1">
        <w:t>mostly</w:t>
      </w:r>
      <w:proofErr w:type="spellEnd"/>
      <w:r w:rsidRPr="00B600C1">
        <w:t xml:space="preserve"> </w:t>
      </w:r>
      <w:proofErr w:type="spellStart"/>
      <w:r w:rsidRPr="00B600C1">
        <w:t>related</w:t>
      </w:r>
      <w:proofErr w:type="spellEnd"/>
      <w:r w:rsidRPr="00B600C1">
        <w:t xml:space="preserve"> to the </w:t>
      </w:r>
      <w:proofErr w:type="spellStart"/>
      <w:r w:rsidRPr="00B600C1">
        <w:t>entrance</w:t>
      </w:r>
      <w:proofErr w:type="spellEnd"/>
      <w:r w:rsidRPr="00B600C1">
        <w:t xml:space="preserve"> of </w:t>
      </w:r>
      <w:proofErr w:type="spellStart"/>
      <w:r w:rsidRPr="00B600C1">
        <w:t>some</w:t>
      </w:r>
      <w:proofErr w:type="spellEnd"/>
      <w:r w:rsidRPr="00B600C1">
        <w:t xml:space="preserve"> of the </w:t>
      </w:r>
      <w:proofErr w:type="spellStart"/>
      <w:r w:rsidRPr="00B600C1">
        <w:t>graduates</w:t>
      </w:r>
      <w:proofErr w:type="spellEnd"/>
      <w:r w:rsidRPr="00B600C1">
        <w:t xml:space="preserve"> of </w:t>
      </w:r>
      <w:proofErr w:type="spellStart"/>
      <w:r w:rsidRPr="00B600C1">
        <w:t>technical</w:t>
      </w:r>
      <w:proofErr w:type="spellEnd"/>
      <w:r w:rsidRPr="00B600C1">
        <w:t xml:space="preserve"> </w:t>
      </w:r>
      <w:proofErr w:type="spellStart"/>
      <w:r w:rsidRPr="00B600C1">
        <w:t>schools</w:t>
      </w:r>
      <w:proofErr w:type="spellEnd"/>
      <w:r w:rsidRPr="00B600C1">
        <w:t xml:space="preserve"> to </w:t>
      </w:r>
      <w:proofErr w:type="spellStart"/>
      <w:r w:rsidRPr="00B600C1">
        <w:t>tertiary</w:t>
      </w:r>
      <w:proofErr w:type="spellEnd"/>
      <w:r w:rsidRPr="00B600C1">
        <w:t xml:space="preserve"> </w:t>
      </w:r>
      <w:proofErr w:type="spellStart"/>
      <w:r w:rsidRPr="00B600C1">
        <w:t>education</w:t>
      </w:r>
      <w:proofErr w:type="spellEnd"/>
      <w:r w:rsidRPr="00B600C1">
        <w:t xml:space="preserve">. </w:t>
      </w:r>
      <w:proofErr w:type="spellStart"/>
      <w:r w:rsidRPr="00B600C1">
        <w:t>Graduate</w:t>
      </w:r>
      <w:proofErr w:type="spellEnd"/>
      <w:r w:rsidRPr="00B600C1">
        <w:t xml:space="preserve"> </w:t>
      </w:r>
      <w:proofErr w:type="spellStart"/>
      <w:r w:rsidRPr="00B600C1">
        <w:t>that</w:t>
      </w:r>
      <w:proofErr w:type="spellEnd"/>
      <w:r w:rsidRPr="00B600C1">
        <w:t xml:space="preserve"> </w:t>
      </w:r>
      <w:proofErr w:type="spellStart"/>
      <w:r w:rsidRPr="00B600C1">
        <w:t>found</w:t>
      </w:r>
      <w:proofErr w:type="spellEnd"/>
      <w:r w:rsidRPr="00B600C1">
        <w:t xml:space="preserve"> </w:t>
      </w:r>
      <w:proofErr w:type="spellStart"/>
      <w:r w:rsidRPr="00B600C1">
        <w:t>employment</w:t>
      </w:r>
      <w:proofErr w:type="spellEnd"/>
      <w:r w:rsidRPr="00B600C1">
        <w:t xml:space="preserve"> </w:t>
      </w:r>
      <w:proofErr w:type="spellStart"/>
      <w:r w:rsidRPr="00B600C1">
        <w:t>rarely</w:t>
      </w:r>
      <w:proofErr w:type="spellEnd"/>
      <w:r w:rsidRPr="00B600C1">
        <w:t xml:space="preserve"> </w:t>
      </w:r>
      <w:proofErr w:type="spellStart"/>
      <w:r w:rsidRPr="00B600C1">
        <w:t>change</w:t>
      </w:r>
      <w:proofErr w:type="spellEnd"/>
      <w:r w:rsidRPr="00B600C1">
        <w:t xml:space="preserve"> </w:t>
      </w:r>
      <w:proofErr w:type="spellStart"/>
      <w:r w:rsidRPr="00B600C1">
        <w:t>their</w:t>
      </w:r>
      <w:proofErr w:type="spellEnd"/>
      <w:r w:rsidRPr="00B600C1">
        <w:t xml:space="preserve"> </w:t>
      </w:r>
      <w:proofErr w:type="spellStart"/>
      <w:r w:rsidRPr="00B600C1">
        <w:t>employers</w:t>
      </w:r>
      <w:proofErr w:type="spellEnd"/>
      <w:r w:rsidRPr="00B600C1">
        <w:t xml:space="preserve">. The </w:t>
      </w:r>
      <w:proofErr w:type="spellStart"/>
      <w:r w:rsidRPr="00B600C1">
        <w:t>educational</w:t>
      </w:r>
      <w:proofErr w:type="spellEnd"/>
      <w:r w:rsidRPr="00B600C1">
        <w:t xml:space="preserve"> and </w:t>
      </w:r>
      <w:proofErr w:type="spellStart"/>
      <w:r w:rsidRPr="00B600C1">
        <w:t>occupational</w:t>
      </w:r>
      <w:proofErr w:type="spellEnd"/>
      <w:r w:rsidRPr="00B600C1">
        <w:t xml:space="preserve"> </w:t>
      </w:r>
      <w:proofErr w:type="spellStart"/>
      <w:r w:rsidRPr="00B600C1">
        <w:t>trajectories</w:t>
      </w:r>
      <w:proofErr w:type="spellEnd"/>
      <w:r w:rsidRPr="00B600C1">
        <w:t xml:space="preserve"> </w:t>
      </w:r>
      <w:proofErr w:type="spellStart"/>
      <w:r w:rsidRPr="00B600C1">
        <w:t>are</w:t>
      </w:r>
      <w:proofErr w:type="spellEnd"/>
      <w:r w:rsidRPr="00B600C1">
        <w:t xml:space="preserve"> </w:t>
      </w:r>
      <w:proofErr w:type="spellStart"/>
      <w:r w:rsidRPr="00B600C1">
        <w:t>only</w:t>
      </w:r>
      <w:proofErr w:type="spellEnd"/>
      <w:r w:rsidRPr="00B600C1">
        <w:t xml:space="preserve"> </w:t>
      </w:r>
      <w:proofErr w:type="spellStart"/>
      <w:r w:rsidRPr="00B600C1">
        <w:t>weakly</w:t>
      </w:r>
      <w:proofErr w:type="spellEnd"/>
      <w:r w:rsidRPr="00B600C1">
        <w:t xml:space="preserve"> </w:t>
      </w:r>
      <w:proofErr w:type="spellStart"/>
      <w:r w:rsidRPr="00B600C1">
        <w:t>affected</w:t>
      </w:r>
      <w:proofErr w:type="spellEnd"/>
      <w:r w:rsidRPr="00B600C1">
        <w:t xml:space="preserve"> by the field of </w:t>
      </w:r>
      <w:proofErr w:type="spellStart"/>
      <w:r w:rsidRPr="00B600C1">
        <w:t>education</w:t>
      </w:r>
      <w:proofErr w:type="spellEnd"/>
      <w:r w:rsidRPr="00B600C1">
        <w:t xml:space="preserve">. The </w:t>
      </w:r>
      <w:proofErr w:type="spellStart"/>
      <w:r w:rsidRPr="00B600C1">
        <w:t>latter</w:t>
      </w:r>
      <w:proofErr w:type="spellEnd"/>
      <w:r w:rsidRPr="00B600C1">
        <w:t xml:space="preserve"> </w:t>
      </w:r>
      <w:proofErr w:type="spellStart"/>
      <w:r w:rsidRPr="00B600C1">
        <w:t>factor</w:t>
      </w:r>
      <w:proofErr w:type="spellEnd"/>
      <w:r w:rsidRPr="00B600C1">
        <w:t xml:space="preserve"> </w:t>
      </w:r>
      <w:proofErr w:type="spellStart"/>
      <w:r w:rsidRPr="00B600C1">
        <w:t>is</w:t>
      </w:r>
      <w:proofErr w:type="spellEnd"/>
      <w:r w:rsidRPr="00B600C1">
        <w:t xml:space="preserve"> </w:t>
      </w:r>
      <w:proofErr w:type="spellStart"/>
      <w:r w:rsidRPr="00B600C1">
        <w:t>more</w:t>
      </w:r>
      <w:proofErr w:type="spellEnd"/>
      <w:r w:rsidRPr="00B600C1">
        <w:t xml:space="preserve"> </w:t>
      </w:r>
      <w:proofErr w:type="spellStart"/>
      <w:r w:rsidRPr="00B600C1">
        <w:t>important</w:t>
      </w:r>
      <w:proofErr w:type="spellEnd"/>
      <w:r w:rsidRPr="00B600C1">
        <w:t xml:space="preserve"> in </w:t>
      </w:r>
      <w:proofErr w:type="spellStart"/>
      <w:r w:rsidRPr="00B600C1">
        <w:t>explaining</w:t>
      </w:r>
      <w:proofErr w:type="spellEnd"/>
      <w:r w:rsidRPr="00B600C1">
        <w:t xml:space="preserve"> </w:t>
      </w:r>
      <w:proofErr w:type="spellStart"/>
      <w:r w:rsidRPr="00B600C1">
        <w:t>differences</w:t>
      </w:r>
      <w:proofErr w:type="spellEnd"/>
      <w:r w:rsidRPr="00B600C1">
        <w:t xml:space="preserve"> in </w:t>
      </w:r>
      <w:proofErr w:type="spellStart"/>
      <w:r w:rsidRPr="00B600C1">
        <w:t>earnings</w:t>
      </w:r>
      <w:proofErr w:type="spellEnd"/>
      <w:r w:rsidRPr="00B600C1">
        <w:t xml:space="preserve">, </w:t>
      </w:r>
      <w:proofErr w:type="spellStart"/>
      <w:r w:rsidRPr="00B600C1">
        <w:t>matching</w:t>
      </w:r>
      <w:proofErr w:type="spellEnd"/>
      <w:r w:rsidRPr="00B600C1">
        <w:t xml:space="preserve"> of </w:t>
      </w:r>
      <w:proofErr w:type="spellStart"/>
      <w:r w:rsidRPr="00B600C1">
        <w:t>jobs</w:t>
      </w:r>
      <w:proofErr w:type="spellEnd"/>
      <w:r w:rsidRPr="00B600C1">
        <w:t xml:space="preserve"> to </w:t>
      </w:r>
      <w:proofErr w:type="spellStart"/>
      <w:r w:rsidRPr="00B600C1">
        <w:t>one’s</w:t>
      </w:r>
      <w:proofErr w:type="spellEnd"/>
      <w:r w:rsidRPr="00B600C1">
        <w:t xml:space="preserve"> </w:t>
      </w:r>
      <w:proofErr w:type="spellStart"/>
      <w:r w:rsidRPr="00B600C1">
        <w:t>education</w:t>
      </w:r>
      <w:proofErr w:type="spellEnd"/>
      <w:r w:rsidRPr="00B600C1">
        <w:t xml:space="preserve"> and </w:t>
      </w:r>
      <w:proofErr w:type="spellStart"/>
      <w:r w:rsidRPr="00B600C1">
        <w:t>job</w:t>
      </w:r>
      <w:proofErr w:type="spellEnd"/>
      <w:r w:rsidRPr="00B600C1">
        <w:t xml:space="preserve"> </w:t>
      </w:r>
      <w:proofErr w:type="spellStart"/>
      <w:r w:rsidRPr="00B600C1">
        <w:t>satisfaction</w:t>
      </w:r>
      <w:proofErr w:type="spellEnd"/>
      <w:r w:rsidRPr="00B600C1">
        <w:t>.</w:t>
      </w:r>
    </w:p>
    <w:p w:rsidR="00B600C1" w:rsidRPr="00B600C1" w:rsidRDefault="00B600C1" w:rsidP="00B600C1">
      <w:pPr>
        <w:spacing w:line="276" w:lineRule="auto"/>
      </w:pPr>
    </w:p>
    <w:p w:rsidR="00B600C1" w:rsidRPr="00B600C1" w:rsidRDefault="00B600C1" w:rsidP="00B600C1">
      <w:pPr>
        <w:spacing w:line="276" w:lineRule="auto"/>
        <w:rPr>
          <w:b/>
        </w:rPr>
      </w:pPr>
      <w:proofErr w:type="spellStart"/>
      <w:r w:rsidRPr="00B600C1">
        <w:rPr>
          <w:b/>
        </w:rPr>
        <w:t>Keywords</w:t>
      </w:r>
      <w:proofErr w:type="spellEnd"/>
      <w:r w:rsidRPr="00B600C1">
        <w:rPr>
          <w:b/>
        </w:rPr>
        <w:t>:</w:t>
      </w:r>
    </w:p>
    <w:p w:rsidR="00B600C1" w:rsidRPr="00B600C1" w:rsidRDefault="00B600C1" w:rsidP="00B600C1">
      <w:pPr>
        <w:spacing w:line="276" w:lineRule="auto"/>
      </w:pPr>
      <w:proofErr w:type="spellStart"/>
      <w:r w:rsidRPr="00B600C1">
        <w:t>graduate</w:t>
      </w:r>
      <w:proofErr w:type="spellEnd"/>
      <w:r w:rsidRPr="00B600C1">
        <w:t xml:space="preserve"> </w:t>
      </w:r>
      <w:proofErr w:type="spellStart"/>
      <w:r w:rsidRPr="00B600C1">
        <w:t>tracking</w:t>
      </w:r>
      <w:proofErr w:type="spellEnd"/>
    </w:p>
    <w:p w:rsidR="00B600C1" w:rsidRPr="00B600C1" w:rsidRDefault="00B600C1" w:rsidP="00B600C1">
      <w:pPr>
        <w:spacing w:line="276" w:lineRule="auto"/>
      </w:pPr>
      <w:proofErr w:type="spellStart"/>
      <w:r w:rsidRPr="00B600C1">
        <w:t>school</w:t>
      </w:r>
      <w:proofErr w:type="spellEnd"/>
      <w:r w:rsidRPr="00B600C1">
        <w:t>-to-</w:t>
      </w:r>
      <w:proofErr w:type="spellStart"/>
      <w:r w:rsidRPr="00B600C1">
        <w:t>work</w:t>
      </w:r>
      <w:proofErr w:type="spellEnd"/>
      <w:r w:rsidRPr="00B600C1">
        <w:t xml:space="preserve"> </w:t>
      </w:r>
      <w:proofErr w:type="spellStart"/>
      <w:r w:rsidRPr="00B600C1">
        <w:t>transition</w:t>
      </w:r>
      <w:proofErr w:type="spellEnd"/>
    </w:p>
    <w:p w:rsidR="00B600C1" w:rsidRPr="00B600C1" w:rsidRDefault="00B600C1" w:rsidP="00B600C1">
      <w:pPr>
        <w:spacing w:line="276" w:lineRule="auto"/>
        <w:rPr>
          <w:b/>
        </w:rPr>
      </w:pPr>
      <w:proofErr w:type="spellStart"/>
      <w:r w:rsidRPr="00B600C1">
        <w:t>vocational</w:t>
      </w:r>
      <w:proofErr w:type="spellEnd"/>
      <w:r w:rsidRPr="00B600C1">
        <w:t xml:space="preserve"> </w:t>
      </w:r>
      <w:proofErr w:type="spellStart"/>
      <w:r w:rsidRPr="00B600C1">
        <w:t>educatio</w:t>
      </w:r>
      <w:r w:rsidRPr="00B600C1">
        <w:t>n</w:t>
      </w:r>
      <w:proofErr w:type="spellEnd"/>
    </w:p>
    <w:p w:rsidR="00B600C1" w:rsidRDefault="00B600C1" w:rsidP="00B600C1">
      <w:pPr>
        <w:spacing w:line="276" w:lineRule="auto"/>
        <w:rPr>
          <w:sz w:val="42"/>
          <w:szCs w:val="42"/>
        </w:rPr>
      </w:pPr>
    </w:p>
    <w:p w:rsidR="00D60501" w:rsidRPr="0018161F" w:rsidRDefault="00D60501" w:rsidP="00D60501">
      <w:pPr>
        <w:spacing w:before="100" w:beforeAutospacing="1" w:after="100" w:afterAutospacing="1"/>
        <w:outlineLvl w:val="1"/>
        <w:rPr>
          <w:b/>
          <w:bCs/>
          <w:sz w:val="28"/>
          <w:szCs w:val="36"/>
        </w:rPr>
      </w:pPr>
      <w:r w:rsidRPr="0018161F">
        <w:rPr>
          <w:b/>
          <w:bCs/>
          <w:sz w:val="28"/>
          <w:szCs w:val="36"/>
        </w:rPr>
        <w:lastRenderedPageBreak/>
        <w:t>Wprowadzenie</w:t>
      </w:r>
    </w:p>
    <w:p w:rsidR="00D60501" w:rsidRPr="0018161F" w:rsidRDefault="00D60501" w:rsidP="00D60501">
      <w:r w:rsidRPr="0018161F">
        <w:t xml:space="preserve">Przejście z edukacji do pracy jest ważnym okresem zarówno z indywidualnego, jak i społecznego punktu widzenia. Łatwość znajdywania pracy odpowiadającej kompetencjom i oczekiwaniom absolwentów jest ważnym elementem oceny jakości systemu kształcenia zawodowego. Przejście na rynek pracy nie jest uwarunkowane wyłącznie tylko indywidualnymi decyzjami i umiejętnościami absolwentów, ale też szerszym kontekstem  makroekonomicznym i sytuacją na lokalnym rynku pracy. Znaczenie mają też instytucjonalne powiązania między systemem edukacji i rynku pracy. . </w:t>
      </w:r>
    </w:p>
    <w:p w:rsidR="00D60501" w:rsidRPr="0018161F" w:rsidRDefault="00D60501" w:rsidP="00D60501">
      <w:r w:rsidRPr="0018161F">
        <w:t>Jak pokazano wcześniej, na losy absolwentów na rynku pracy wpływa nie tylko podaż absolwentów i osób będących już na rynku pracy z konkretnym rodzajem wykształcenia, ale również popyt na określone kwalifikacje i kompetencje ze strony pracodawców. Ten rozdział uzupełnia analizy przekrojowe dotyczące funkcjonowania osób młodych na rynku pracy i ich zmian w czasie przedstawione we wcześniejszych rozdziałach o</w:t>
      </w:r>
      <w:r w:rsidR="00035958">
        <w:t xml:space="preserve"> </w:t>
      </w:r>
      <w:r w:rsidRPr="0018161F">
        <w:t xml:space="preserve"> perspektywę indywidualnych karier zawodowych i edukacyjnych absolwentów. Przejście z edukacji na rynek pracy widziane z indywidualnej perspektywy jest złożonym procesem. Absolwenci mogą nie tylko różnić się ze względu na długość poszukiwania zatrudnienia, ale mogą też podjąć decyzję o łączeniu pracy z edukacją lub odłożyć poszukiwanie pracy na później i zdobywać dodatkowe kwalifikacje. Ten ostatni wybór ma duże znaczenie w Polsce, gdzie większość absolwentów kształcących się zawodowo uczy się w technikach, które uczą nie tylko umiejętności zawodowych, ale także realizują pełny program kształcenia ogólnego przygotowującego do kontynuacji kształcenia na </w:t>
      </w:r>
      <w:r w:rsidRPr="00B600C1">
        <w:t xml:space="preserve">poziomie wyższym. Na znaczenie ujęcia procesu przechodzenia z edukacji na rynek pracy w dynamicznej perspektywie wskazuje też bogata literatura podkreślająca znaczny wpływ wczesnych doświadczeń na rynku pracy na dalszy przebieg kariery </w:t>
      </w:r>
      <w:r w:rsidRPr="00B600C1">
        <w:fldChar w:fldCharType="begin"/>
      </w:r>
      <w:r w:rsidRPr="00B600C1">
        <w:instrText xml:space="preserve"> ADDIN ZOTERO_ITEM CSL_CITATION {"citationID":"CWFJRWXf","properties":{"formattedCitation":"(Arulampalam, Booth, &amp; Taylor, 2000; Gregg &amp; Tominey, 2005)","plainCitation":"(Arulampalam, Booth, &amp; Taylor, 2000; Gregg &amp; Tominey, 2005)","noteIndex":0},"citationItems":[{"id":2035,"uris":["http://zotero.org/users/2436226/items/SHW29SSC"],"uri":["http://zotero.org/users/2436226/items/SHW29SSC"],"itemData":{"id":2035,"type":"article-journal","title":"Unemployment persistence","container-title":"Oxford economic papers","page":"24–50","volume":"52","issue":"1","author":[{"family":"Arulampalam","given":"Wiji"},{"family":"Booth","given":"Alison L"},{"family":"Taylor","given":"Mark P"}],"issued":{"date-parts":[["2000"]]}}},{"id":2036,"uris":["http://zotero.org/users/2436226/items/ZANXBFJI"],"uri":["http://zotero.org/users/2436226/items/ZANXBFJI"],"itemData":{"id":2036,"type":"article-journal","title":"The wage scar from male youth unemployment","container-title":"Labour Economics","page":"487–509","volume":"12","issue":"4","author":[{"family":"Gregg","given":"Paul"},{"family":"Tominey","given":"Emma"}],"issued":{"date-parts":[["2005"]]}}}],"schema":"https://github.com/citation-style-language/schema/raw/master/csl-citation.json"} </w:instrText>
      </w:r>
      <w:r w:rsidRPr="00B600C1">
        <w:fldChar w:fldCharType="separate"/>
      </w:r>
      <w:r w:rsidRPr="00B600C1">
        <w:rPr>
          <w:noProof/>
        </w:rPr>
        <w:t>(Arulampalam, Booth, &amp; Taylor, 2000; Gregg &amp; Tominey, 2005)</w:t>
      </w:r>
      <w:r w:rsidRPr="00B600C1">
        <w:fldChar w:fldCharType="end"/>
      </w:r>
      <w:r w:rsidRPr="00B600C1">
        <w:t xml:space="preserve"> lub satysfakcję z życia </w:t>
      </w:r>
      <w:r w:rsidRPr="00B600C1">
        <w:fldChar w:fldCharType="begin"/>
      </w:r>
      <w:r w:rsidRPr="00B600C1">
        <w:instrText xml:space="preserve"> ADDIN ZOTERO_ITEM CSL_CITATION {"citationID":"clTZUMkF","properties":{"formattedCitation":"(Clark, Georgellis, &amp; Sanfey, 2001; Knabe &amp; R\\uc0\\u228{}tzel, 2011)","plainCitation":"(Clark, Georgellis, &amp; Sanfey, 2001; Knabe &amp; Rätzel, 2011)","noteIndex":0},"citationItems":[{"id":2034,"uris":["http://zotero.org/users/2436226/items/RXC5DJ2C"],"uri":["http://zotero.org/users/2436226/items/RXC5DJ2C"],"itemData":{"id":2034,"type":"article-journal","title":"Scarring: The psychological impact of past unemployment","container-title":"Economica","page":"221–241","volume":"68","issue":"270","author":[{"family":"Clark","given":"Andrew"},{"family":"Georgellis","given":"Yannis"},{"family":"Sanfey","given":"Peter"}],"issued":{"date-parts":[["2001"]]}}},{"id":2033,"uris":["http://zotero.org/users/2436226/items/7PQ9FFTV"],"uri":["http://zotero.org/users/2436226/items/7PQ9FFTV"],"itemData":{"id":2033,"type":"article-journal","title":"Scarring or scaring? The psychological impact of past unemployment and future unemployment risk","container-title":"Economica","page":"283–293","volume":"78","issue":"310","author":[{"family":"Knabe","given":"Andreas"},{"family":"Rätzel","given":"Steffen"}],"issued":{"date-parts":[["2011"]]}}}],"schema":"https://github.com/citation-style-language/schema/raw/master/csl-citation.json"} </w:instrText>
      </w:r>
      <w:r w:rsidRPr="00B600C1">
        <w:fldChar w:fldCharType="separate"/>
      </w:r>
      <w:r w:rsidRPr="00B600C1">
        <w:t xml:space="preserve">(Clark, </w:t>
      </w:r>
      <w:proofErr w:type="spellStart"/>
      <w:r w:rsidRPr="00B600C1">
        <w:t>Georgellis</w:t>
      </w:r>
      <w:proofErr w:type="spellEnd"/>
      <w:r w:rsidRPr="00B600C1">
        <w:t xml:space="preserve">, &amp; </w:t>
      </w:r>
      <w:proofErr w:type="spellStart"/>
      <w:r w:rsidRPr="00B600C1">
        <w:t>Sanfey</w:t>
      </w:r>
      <w:proofErr w:type="spellEnd"/>
      <w:r w:rsidRPr="00B600C1">
        <w:t xml:space="preserve">, 2001; </w:t>
      </w:r>
      <w:proofErr w:type="spellStart"/>
      <w:r w:rsidRPr="00B600C1">
        <w:t>Knabe</w:t>
      </w:r>
      <w:proofErr w:type="spellEnd"/>
      <w:r w:rsidRPr="00B600C1">
        <w:t xml:space="preserve"> &amp; R:"</w:t>
      </w:r>
      <w:proofErr w:type="spellStart"/>
      <w:r w:rsidRPr="00B600C1">
        <w:t>clTZUMkF</w:t>
      </w:r>
      <w:proofErr w:type="spellEnd"/>
      <w:r w:rsidRPr="00B600C1">
        <w:t>",</w:t>
      </w:r>
      <w:r w:rsidRPr="00B600C1">
        <w:fldChar w:fldCharType="end"/>
      </w:r>
    </w:p>
    <w:p w:rsidR="00D60501" w:rsidRPr="0018161F" w:rsidRDefault="00D60501" w:rsidP="00D60501">
      <w:r w:rsidRPr="0018161F">
        <w:t>Dane wykorzystane do dalszych analiz pochodzą z rundy pilotażowej badania zrealizowanego w okresie od 13 maja do 30 września 2017 r w ramach projektu Monitorowanie Losów Edukacyjno</w:t>
      </w:r>
      <w:r w:rsidRPr="00B600C1">
        <w:t xml:space="preserve">-Zawodowych Absolwentów i Młodych Dorosłych </w:t>
      </w:r>
      <w:r w:rsidRPr="00B600C1">
        <w:rPr>
          <w:color w:val="0C343D"/>
          <w:bdr w:val="none" w:sz="0" w:space="0" w:color="auto" w:frame="1"/>
        </w:rPr>
        <w:t>współfinansowany ze środków Unii Europejskiej w ramach Europejskiego Funduszu Społecznego</w:t>
      </w:r>
      <w:r w:rsidRPr="00B600C1">
        <w:rPr>
          <w:vertAlign w:val="superscript"/>
        </w:rPr>
        <w:footnoteReference w:id="1"/>
      </w:r>
      <w:r w:rsidRPr="00B600C1">
        <w:t>,</w:t>
      </w:r>
      <w:r w:rsidRPr="0018161F">
        <w:t xml:space="preserve"> który stanowi kontynuację </w:t>
      </w:r>
      <w:r w:rsidRPr="0018161F">
        <w:lastRenderedPageBreak/>
        <w:t xml:space="preserve">przeprowadzonego w 2015 roku przez Instytut Badań Edukacyjnych </w:t>
      </w:r>
      <w:r w:rsidRPr="0018161F">
        <w:rPr>
          <w:i/>
        </w:rPr>
        <w:t>Badania Losów Absolwentów Szkół Zawodowych</w:t>
      </w:r>
      <w:r w:rsidRPr="0018161F">
        <w:t xml:space="preserve"> (BLASZ). Rundę pilotażową badania MLEZAMID zrealizowano metodą CAPI na próbie losowej 5678 absolwentów 140 techników, 134 zasadniczych szkół zawodowych oraz 39 szkół policealnych, którzy wiosną 2015 byli uczniami ostatnich klas w swoich szkołach (wówczas wzięli udział w badaniu BLASZ). Z analiz prezentowanych w tym rozdziale wyłączono absolwentów szkół policealnych z 2015 r a w niektórych wypadkach ograniczono się wyłącznie do opisu sytuacji absolwentów, którzy mieli jakiekolwiek doświadczenia na rynku pracy. Dlatego liczebności podawane na prezentowanych wykresach i tabelach są niższe od wspomnianej powyżej liczebności próby.  </w:t>
      </w:r>
    </w:p>
    <w:p w:rsidR="00D60501" w:rsidRPr="0018161F" w:rsidRDefault="00D60501" w:rsidP="00D60501">
      <w:r w:rsidRPr="0018161F">
        <w:t>Niniejszy rozdział przedstawia aktywność ekonomiczną absolwentów oraz ich pierwsze doświadczenia zawodowe. Analizowany okres obejmuje 22 miesiące po czerwcu 2015 r., którą to datę umownie traktujemy jako miesiąc zakończenia nauki. Pytania kwestionariusza ankiety umożliwiły dokładne odtworzenie historii zawodowej i edukacyjnej respondentów w poszczególnych miesiącach oraz charakterystykę ich pierwszego miejsca pracy.</w:t>
      </w:r>
    </w:p>
    <w:p w:rsidR="00D60501" w:rsidRPr="0018161F" w:rsidRDefault="00D60501" w:rsidP="00D60501">
      <w:pPr>
        <w:rPr>
          <w:b/>
        </w:rPr>
      </w:pPr>
    </w:p>
    <w:p w:rsidR="00D60501" w:rsidRPr="0018161F" w:rsidRDefault="00D60501" w:rsidP="00D60501">
      <w:pPr>
        <w:keepNext/>
        <w:keepLines/>
        <w:spacing w:before="40"/>
        <w:outlineLvl w:val="2"/>
        <w:rPr>
          <w:rFonts w:eastAsiaTheme="majorEastAsia" w:cstheme="majorBidi"/>
          <w:b/>
          <w:i/>
          <w:color w:val="000000" w:themeColor="text1"/>
        </w:rPr>
      </w:pPr>
      <w:bookmarkStart w:id="1" w:name="_Toc529951294"/>
      <w:r w:rsidRPr="0018161F">
        <w:rPr>
          <w:rFonts w:eastAsiaTheme="majorEastAsia" w:cstheme="majorBidi"/>
          <w:b/>
          <w:i/>
          <w:color w:val="000000" w:themeColor="text1"/>
        </w:rPr>
        <w:t>Ogólna charakterystyka losów edukacyjnych i zawodowych absolwentów techników i zasadniczych szkół zawodowych</w:t>
      </w:r>
      <w:bookmarkEnd w:id="1"/>
    </w:p>
    <w:p w:rsidR="00D60501" w:rsidRPr="0018161F" w:rsidRDefault="00D60501" w:rsidP="00D60501"/>
    <w:p w:rsidR="00D60501" w:rsidRPr="0018161F" w:rsidRDefault="00D60501" w:rsidP="00D60501">
      <w:r w:rsidRPr="0018161F">
        <w:t xml:space="preserve">Przejście z edukacji na rynek pracy można analizować na wiele sposobów. Szczególne ważne są analizy uwzględniające zmiany sytuacji osób wchodzących na rynek pracy w czasie. Jedną z technik często wykorzystywanych do tego celu jest analiza sekwencji, której istotą jest porównywanie stanów, w jakim znajdują się absolwenci w określonym czasie (np. w kolejnych miesiącach po zakończeniu nauki), co </w:t>
      </w:r>
      <w:r w:rsidRPr="0018161F">
        <w:rPr>
          <w:rFonts w:cstheme="minorHAnsi"/>
        </w:rPr>
        <w:t>umożliwia na wyróżnienie podobnych wzorców karier zawodowo-edukacyjnych.</w:t>
      </w:r>
      <w:r w:rsidRPr="0018161F">
        <w:t xml:space="preserve"> W analizach wykorzystamy dane z pilotażowej rundy monitorowania losów absolwentów dotyczące absolwentów zasadniczych szkół zawodowych i techników i zawierające informacje o sytuacji absolwentów na rynku pracy i rynku edukacyjnym w 22 miesiące po zakończeniu nauki. We wstępnych analizach wyróżnimy 4 stany, w których mogą być absolwenci w kolejnych miesiącach po zakończeniu nauki. Są to stany związane z ich aktywnością na rynku pracy i rynku edukacyjnym: mogą pracować, uczyć się, łączyć pracę z nauką, bądź też nie pracować i nie uczyć się.</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lastRenderedPageBreak/>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8</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Odsetki absolwentów z 2015 r. w podziale na status edukacyjny i zawodowy w kolejnych miesiącach po czerwcu 2015 r.</w:t>
      </w:r>
    </w:p>
    <w:p w:rsidR="00D60501" w:rsidRPr="0018161F" w:rsidRDefault="00D60501" w:rsidP="00D60501">
      <w:r w:rsidRPr="0018161F">
        <w:rPr>
          <w:noProof/>
        </w:rPr>
        <w:drawing>
          <wp:inline distT="0" distB="0" distL="0" distR="0" wp14:anchorId="601E289F" wp14:editId="00093408">
            <wp:extent cx="6217920" cy="1882589"/>
            <wp:effectExtent l="0" t="0" r="17780" b="10160"/>
            <wp:docPr id="67" name="Wykres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r w:rsidRPr="0018161F">
        <w:t>Przedstawione wykresy ilustrują sytuację absolwentów w sposób przekrojowy, nie informując o sytuacji poszczególnych osób: widać przy tym wyraźne różnice, zależnie od analizowanego miesiąca: przykładowo, rok po zakończeniu nauki pracowało ok 55% absolwentów, dodatkowe kilkanaście procent łączyło pracę z nauką, a ok. 20% wyłącznie kształciło się. Z punktu widzenia analizy losów absolwentów ważną informacją są zmiany w zatrudnieniu i aktywnościach edukacyjnych poszczególnych osób. Sekwencje stanów sytuacji edukacyjno-zawodowej dla przykładowych 5 absolwentów przedstawiono na poniższym rysunku. Absolwent 1 znajduje zatrudnienie i podejmuje pracę bezpośrednio w pierwszym miesiącu po zakończeniu nauki (w analizach przyjęto założenie, że wszyscy absolwenci kończą naukę w badanej szkole czerwcu). Absolwent oznaczony numerem 5 bezpośrednio po szkole kontynuuje naukę (np. po technikum dostaje się na studia) – w takich przypadkach przyjęto założenie, że również w lipcu, sierpniu i wrześniu pozostaje w edukacji.  Zdarza się jednak, że absolwent pozostaje bez pracy przez określony czas (absolwent 4) lub ma okresy łączenia pracy z nauką (absolwent 2 i 3).</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9</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Przykładowe sekwencje edukacyjno-zawodowe absolwentów szkół zawodowych</w:t>
      </w:r>
    </w:p>
    <w:p w:rsidR="00D60501" w:rsidRPr="0018161F" w:rsidRDefault="00D60501" w:rsidP="00D60501">
      <w:r w:rsidRPr="0018161F">
        <w:rPr>
          <w:noProof/>
        </w:rPr>
        <w:lastRenderedPageBreak/>
        <w:drawing>
          <wp:inline distT="0" distB="0" distL="0" distR="0" wp14:anchorId="7C1DC954" wp14:editId="1DC1A516">
            <wp:extent cx="3463274" cy="2893807"/>
            <wp:effectExtent l="0" t="0" r="4445" b="1905"/>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2277" r="4009" b="2307"/>
                    <a:stretch/>
                  </pic:blipFill>
                  <pic:spPr bwMode="auto">
                    <a:xfrm>
                      <a:off x="0" y="0"/>
                      <a:ext cx="3479484" cy="2907351"/>
                    </a:xfrm>
                    <a:prstGeom prst="rect">
                      <a:avLst/>
                    </a:prstGeom>
                    <a:ln>
                      <a:noFill/>
                    </a:ln>
                    <a:extLst>
                      <a:ext uri="{53640926-AAD7-44D8-BBD7-CCE9431645EC}">
                        <a14:shadowObscured xmlns:a14="http://schemas.microsoft.com/office/drawing/2010/main"/>
                      </a:ext>
                    </a:extLst>
                  </pic:spPr>
                </pic:pic>
              </a:graphicData>
            </a:graphic>
          </wp:inline>
        </w:drawing>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r w:rsidRPr="0018161F">
        <w:t xml:space="preserve">Porównania dystansów między sekwencjami dokonuje się na podstawie algorytmów wykorzystujących różne sposoby wyliczania różnic między sekwencjami. Najczęściej stosowaną techniką jest technika optymalnego dopasowania (ang. </w:t>
      </w:r>
      <w:proofErr w:type="spellStart"/>
      <w:r w:rsidRPr="0018161F">
        <w:t>optimal</w:t>
      </w:r>
      <w:proofErr w:type="spellEnd"/>
      <w:r w:rsidRPr="0018161F">
        <w:t xml:space="preserve"> </w:t>
      </w:r>
      <w:proofErr w:type="spellStart"/>
      <w:r w:rsidRPr="0018161F">
        <w:t>matching</w:t>
      </w:r>
      <w:proofErr w:type="spellEnd"/>
      <w:r w:rsidRPr="0018161F">
        <w:t>) opierająca się porównaniu kosztów upodabniania sekwencji, np. liczby zmian (usunięć, zamian), które trzeba dokonać, by sekwencje były takie same. W analizach wykorzystano standardową technikę optymalnego dopasowania, w której przyjęto stały koszt zamiany/wstawiania poszczególnych pozycji</w:t>
      </w:r>
      <w:r w:rsidRPr="0018161F">
        <w:rPr>
          <w:vertAlign w:val="superscript"/>
        </w:rPr>
        <w:footnoteReference w:id="2"/>
      </w:r>
      <w:r w:rsidRPr="0018161F">
        <w:t>.</w:t>
      </w:r>
    </w:p>
    <w:p w:rsidR="00D60501" w:rsidRPr="0018161F" w:rsidRDefault="00D60501" w:rsidP="00D60501">
      <w:r w:rsidRPr="0018161F">
        <w:t xml:space="preserve">Mając wyliczone dystanse można przystąpić do grupowania sekwencji. W analizach testowano dwie metody grupowania, popularną metodę Warda oraz algorytm PAM (algorytm </w:t>
      </w:r>
      <w:proofErr w:type="spellStart"/>
      <w:r w:rsidRPr="0018161F">
        <w:t>medoidów</w:t>
      </w:r>
      <w:proofErr w:type="spellEnd"/>
      <w:r w:rsidRPr="0018161F">
        <w:t xml:space="preserve">), w którym celem jest znalezienie takiego rozwiązania, które minimalizuje odmienności elementów w poszczególnych parach. W obu metodach statystyki dopasowania wskazują na 4 skupienia. Obie metody dają podobne wyniki, a różnice dotyczą przydziału osób do grupy pracujących i łączących pracę z nauką. </w:t>
      </w:r>
    </w:p>
    <w:p w:rsidR="00D60501" w:rsidRPr="0018161F" w:rsidRDefault="00D60501" w:rsidP="00D60501">
      <w:r w:rsidRPr="0018161F">
        <w:t xml:space="preserve">Uzyskane grupowanie przedstawiono na poniższych rysunkach. Osoby skategoryzowane jako pracujące, relatywnie szybko znalazły zatrudnienie i pracowały przez większość analizowanego okresu. Odróżnia je to od osób skategoryzowanych jako osoby nieaktywne, które przez większość analizowanych 22 miesięcy nie uczyły się i nie pracowały, bądź znalazły pracę dopiero po dłuższym okresie nieaktywności. W tej kategorii są też nieliczne osoby, które </w:t>
      </w:r>
      <w:r w:rsidRPr="0018161F">
        <w:lastRenderedPageBreak/>
        <w:t xml:space="preserve">przerwały edukację lub, po roku przerwy, podjęły naukę na studiach lub w szkole policealnej. W kategorii osób łączących pracę z nauką są osoby, które studiowały lub uczyły się szkole policealnej łącząc to z pracą, bądź znajdując sobie pracę w relatywnie krótkim czasie. W czwartej grupie są osoby, których jedyną lub dominującą aktywnością była edukacja.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10</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Sekwencje edukacyjno-zawodowe absolwentów w podziale na grupy absolwentów wyróżnione w analizie skupień.</w:t>
      </w:r>
    </w:p>
    <w:p w:rsidR="00D60501" w:rsidRPr="0018161F" w:rsidRDefault="00D60501" w:rsidP="00D60501">
      <w:r w:rsidRPr="0018161F">
        <w:rPr>
          <w:noProof/>
        </w:rPr>
        <w:drawing>
          <wp:inline distT="0" distB="0" distL="0" distR="0" wp14:anchorId="28E71123" wp14:editId="438944E1">
            <wp:extent cx="5760720" cy="2972840"/>
            <wp:effectExtent l="0" t="0" r="0" b="0"/>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972840"/>
                    </a:xfrm>
                    <a:prstGeom prst="rect">
                      <a:avLst/>
                    </a:prstGeom>
                  </pic:spPr>
                </pic:pic>
              </a:graphicData>
            </a:graphic>
          </wp:inline>
        </w:drawing>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r w:rsidRPr="0018161F">
        <w:t>Do tej pory absolwentów zasadniczych szkół zawodowych i techników analizowano łącznie. Jednak z oczywistych względów obie grupy absolwentów są nieporównywalne. Absolwenci techników w znacznej części kontynuują naukę na studiach i jest to bardziej naturalna ścieżka kariery niż w przypadku absolwentów szkół zawodowych.</w:t>
      </w:r>
    </w:p>
    <w:p w:rsidR="00D60501" w:rsidRPr="0018161F" w:rsidRDefault="00D60501" w:rsidP="00D60501">
      <w:r w:rsidRPr="0018161F">
        <w:t xml:space="preserve">Przynależność do poszczególnych grup różni się między absolwentami obu rodzajów szkół.  Wśród absolwentów techników jest więcej osób uczących się: wliczając w to osoby łączące pracę z nauką stanowią łącznie ok. 36% zbadanych osób. Dla absolwentów zasadniczych szkół zawodowych dominującą ścieżką kariery jest poszukiwanie pracy, ale także wśród tych absolwentów 25% absolwentów znalazło się w kategoriach związanych z kontynuacją edukacji. Wśród absolwentów ZSZ jest też nieco więcej osób sklasyfikowanych jako pozostające poza edukacją i pracą. </w:t>
      </w:r>
    </w:p>
    <w:p w:rsidR="00D60501" w:rsidRPr="0018161F" w:rsidRDefault="00D60501" w:rsidP="00D60501">
      <w:pPr>
        <w:jc w:val="left"/>
        <w:rPr>
          <w:i/>
          <w:iCs/>
          <w:color w:val="44546A" w:themeColor="text2"/>
          <w:sz w:val="18"/>
          <w:szCs w:val="18"/>
        </w:rPr>
      </w:pPr>
      <w:r w:rsidRPr="0018161F">
        <w:br w:type="page"/>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lastRenderedPageBreak/>
        <w:t xml:space="preserve">Tabela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Tabela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13</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Przynależność do czterech kategorii absolwentów w całej próbie.</w:t>
      </w:r>
    </w:p>
    <w:tbl>
      <w:tblPr>
        <w:tblStyle w:val="Jasnecieniowanie"/>
        <w:tblW w:w="6761" w:type="dxa"/>
        <w:tblLook w:val="04A0" w:firstRow="1" w:lastRow="0" w:firstColumn="1" w:lastColumn="0" w:noHBand="0" w:noVBand="1"/>
      </w:tblPr>
      <w:tblGrid>
        <w:gridCol w:w="3620"/>
        <w:gridCol w:w="960"/>
        <w:gridCol w:w="1312"/>
        <w:gridCol w:w="960"/>
      </w:tblGrid>
      <w:tr w:rsidR="00D60501" w:rsidRPr="0018161F" w:rsidTr="00C658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20" w:type="dxa"/>
            <w:noWrap/>
            <w:hideMark/>
          </w:tcPr>
          <w:p w:rsidR="00D60501" w:rsidRPr="0018161F" w:rsidRDefault="00D60501" w:rsidP="00C65846">
            <w:pPr>
              <w:rPr>
                <w:rFonts w:ascii="Calibri" w:hAnsi="Calibri" w:cs="Calibri"/>
                <w:color w:val="000000"/>
              </w:rPr>
            </w:pPr>
          </w:p>
        </w:tc>
        <w:tc>
          <w:tcPr>
            <w:tcW w:w="960" w:type="dxa"/>
            <w:noWrap/>
            <w:hideMark/>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ZSZ</w:t>
            </w:r>
          </w:p>
        </w:tc>
        <w:tc>
          <w:tcPr>
            <w:tcW w:w="1221" w:type="dxa"/>
            <w:noWrap/>
            <w:hideMark/>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Technikum</w:t>
            </w:r>
          </w:p>
        </w:tc>
        <w:tc>
          <w:tcPr>
            <w:tcW w:w="960" w:type="dxa"/>
            <w:noWrap/>
            <w:hideMark/>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Razem</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20" w:type="dxa"/>
            <w:noWrap/>
            <w:hideMark/>
          </w:tcPr>
          <w:p w:rsidR="00D60501" w:rsidRPr="0018161F" w:rsidRDefault="00D60501" w:rsidP="00C65846">
            <w:pPr>
              <w:rPr>
                <w:rFonts w:ascii="Calibri" w:hAnsi="Calibri" w:cs="Calibri"/>
                <w:color w:val="000000"/>
              </w:rPr>
            </w:pPr>
            <w:r w:rsidRPr="0018161F">
              <w:rPr>
                <w:rFonts w:ascii="Calibri" w:hAnsi="Calibri" w:cs="Calibri"/>
                <w:color w:val="000000"/>
              </w:rPr>
              <w:t>Pracujący</w:t>
            </w:r>
          </w:p>
        </w:tc>
        <w:tc>
          <w:tcPr>
            <w:tcW w:w="96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55.7</w:t>
            </w:r>
          </w:p>
        </w:tc>
        <w:tc>
          <w:tcPr>
            <w:tcW w:w="1221"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48</w:t>
            </w:r>
          </w:p>
        </w:tc>
        <w:tc>
          <w:tcPr>
            <w:tcW w:w="96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50.6</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3620" w:type="dxa"/>
            <w:noWrap/>
            <w:hideMark/>
          </w:tcPr>
          <w:p w:rsidR="00D60501" w:rsidRPr="0018161F" w:rsidRDefault="00D60501" w:rsidP="00C65846">
            <w:pPr>
              <w:rPr>
                <w:rFonts w:ascii="Calibri" w:hAnsi="Calibri" w:cs="Calibri"/>
                <w:color w:val="000000"/>
              </w:rPr>
            </w:pPr>
            <w:r w:rsidRPr="0018161F">
              <w:rPr>
                <w:rFonts w:ascii="Calibri" w:hAnsi="Calibri" w:cs="Calibri"/>
                <w:color w:val="000000"/>
              </w:rPr>
              <w:t>Łączący pracę z nauką</w:t>
            </w:r>
          </w:p>
        </w:tc>
        <w:tc>
          <w:tcPr>
            <w:tcW w:w="96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13.8</w:t>
            </w:r>
          </w:p>
        </w:tc>
        <w:tc>
          <w:tcPr>
            <w:tcW w:w="1221"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11.5</w:t>
            </w:r>
          </w:p>
        </w:tc>
        <w:tc>
          <w:tcPr>
            <w:tcW w:w="96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12.3</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20" w:type="dxa"/>
            <w:noWrap/>
            <w:hideMark/>
          </w:tcPr>
          <w:p w:rsidR="00D60501" w:rsidRPr="0018161F" w:rsidRDefault="00D60501" w:rsidP="00C65846">
            <w:pPr>
              <w:rPr>
                <w:rFonts w:ascii="Calibri" w:hAnsi="Calibri" w:cs="Calibri"/>
                <w:color w:val="000000"/>
              </w:rPr>
            </w:pPr>
            <w:r w:rsidRPr="0018161F">
              <w:rPr>
                <w:rFonts w:ascii="Calibri" w:hAnsi="Calibri" w:cs="Calibri"/>
                <w:color w:val="000000"/>
              </w:rPr>
              <w:t>Uczący się</w:t>
            </w:r>
          </w:p>
        </w:tc>
        <w:tc>
          <w:tcPr>
            <w:tcW w:w="96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10.6</w:t>
            </w:r>
          </w:p>
        </w:tc>
        <w:tc>
          <w:tcPr>
            <w:tcW w:w="1221"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25.1</w:t>
            </w:r>
          </w:p>
        </w:tc>
        <w:tc>
          <w:tcPr>
            <w:tcW w:w="96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20.2</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3620" w:type="dxa"/>
            <w:noWrap/>
            <w:hideMark/>
          </w:tcPr>
          <w:p w:rsidR="00D60501" w:rsidRPr="0018161F" w:rsidRDefault="00D60501" w:rsidP="00C65846">
            <w:pPr>
              <w:rPr>
                <w:rFonts w:ascii="Calibri" w:hAnsi="Calibri" w:cs="Calibri"/>
                <w:color w:val="000000"/>
              </w:rPr>
            </w:pPr>
            <w:r w:rsidRPr="0018161F">
              <w:rPr>
                <w:rFonts w:ascii="Calibri" w:hAnsi="Calibri" w:cs="Calibri"/>
                <w:color w:val="000000"/>
              </w:rPr>
              <w:t>Nieaktywni</w:t>
            </w:r>
          </w:p>
        </w:tc>
        <w:tc>
          <w:tcPr>
            <w:tcW w:w="96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19.9</w:t>
            </w:r>
          </w:p>
        </w:tc>
        <w:tc>
          <w:tcPr>
            <w:tcW w:w="1221"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15.3</w:t>
            </w:r>
          </w:p>
        </w:tc>
        <w:tc>
          <w:tcPr>
            <w:tcW w:w="96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16.9</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20" w:type="dxa"/>
            <w:noWrap/>
            <w:hideMark/>
          </w:tcPr>
          <w:p w:rsidR="00D60501" w:rsidRPr="0018161F" w:rsidRDefault="00D60501" w:rsidP="00C65846">
            <w:pPr>
              <w:rPr>
                <w:rFonts w:ascii="Calibri" w:hAnsi="Calibri" w:cs="Calibri"/>
                <w:color w:val="000000"/>
              </w:rPr>
            </w:pPr>
            <w:r w:rsidRPr="0018161F">
              <w:rPr>
                <w:rFonts w:ascii="Calibri" w:hAnsi="Calibri" w:cs="Calibri"/>
                <w:color w:val="000000"/>
              </w:rPr>
              <w:t>Total</w:t>
            </w:r>
          </w:p>
        </w:tc>
        <w:tc>
          <w:tcPr>
            <w:tcW w:w="96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100</w:t>
            </w:r>
          </w:p>
        </w:tc>
        <w:tc>
          <w:tcPr>
            <w:tcW w:w="1221"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100</w:t>
            </w:r>
          </w:p>
        </w:tc>
        <w:tc>
          <w:tcPr>
            <w:tcW w:w="96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100</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3620" w:type="dxa"/>
            <w:noWrap/>
            <w:hideMark/>
          </w:tcPr>
          <w:p w:rsidR="00D60501" w:rsidRPr="0018161F" w:rsidRDefault="00D60501" w:rsidP="00C65846">
            <w:pPr>
              <w:rPr>
                <w:rFonts w:ascii="Calibri" w:hAnsi="Calibri" w:cs="Calibri"/>
                <w:color w:val="000000"/>
              </w:rPr>
            </w:pPr>
            <w:r w:rsidRPr="0018161F">
              <w:rPr>
                <w:rFonts w:ascii="Calibri" w:hAnsi="Calibri" w:cs="Calibri"/>
                <w:color w:val="000000"/>
              </w:rPr>
              <w:t>N</w:t>
            </w:r>
          </w:p>
        </w:tc>
        <w:tc>
          <w:tcPr>
            <w:tcW w:w="96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855</w:t>
            </w:r>
          </w:p>
        </w:tc>
        <w:tc>
          <w:tcPr>
            <w:tcW w:w="1221"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1,655</w:t>
            </w:r>
          </w:p>
        </w:tc>
        <w:tc>
          <w:tcPr>
            <w:tcW w:w="96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161F">
              <w:rPr>
                <w:rFonts w:ascii="Calibri" w:hAnsi="Calibri" w:cs="Calibri"/>
                <w:color w:val="000000"/>
              </w:rPr>
              <w:t>2,510</w:t>
            </w:r>
          </w:p>
        </w:tc>
      </w:tr>
    </w:tbl>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r w:rsidRPr="0018161F">
        <w:t xml:space="preserve">Aż 33% absolwentów zasadniczych szkół zawodowych i blisko 42% absolwentów techników przez cały 22 miesięczny okres obserwacji nie zmieniało swojego statusu: wyłącznie pracowało, uczyło się, łączyło pracę z nauką lub pozostawało nieaktywne. Zasadnicze szkoły zawodowe i technika różniły się zwłaszcza pod względem odsetka osób, które pozostawały przez cały czas wyłącznie w edukacji: w ramach kategorii „uczących się” w technikach było to aż 76% osób zakwalifikowanych do tej kategorii, podczas gdy w zasadniczych szkołach zawodowych 57%. </w:t>
      </w:r>
    </w:p>
    <w:p w:rsidR="00D60501" w:rsidRPr="0018161F" w:rsidRDefault="00D60501" w:rsidP="00D60501">
      <w:r w:rsidRPr="0018161F">
        <w:t xml:space="preserve">Jakie czynniki różnicują osoby znajdujące się w poszczególnych grupach absolwentów?  Odpowiedź na to pytanie można uzyskać przeprowadzając analizę regresji przewidującej wpływ różnych zmiennych na szanse znalezienia się w poszczególnych kategoriach absolwentów. W przypadku zasadniczych szkół zawodowych, spośród uwzględnionych zmiennych największy wpływ ma płeć. Bycie kobietą (wśród badanych absolwentów zasadniczych szkół zawodowych ok. 38% absolwentów) zmniejsza prawdopodobieństwo pozostawania wyłącznie w zatrudnieniu i zwiększa prawdopodobieństwo pozostawania wyłącznie w edukacji. Drugim pod względem ważności czynnikiem jest posiadanie pracy przed ukończeniem nauki. Posiadanie pracy przed ukończeniem nauki zadeklarowało ok. 10% absolwentów. Przy kontroli pozostałych zmiennych, posiadanie pracy zwiększa prawdopodobieństwo łączenia pracy z nauką o 12% i zmniejsza prawdopodobieństwo trafienia do kategorii osób nieaktywnych (lub zaczynających pracę po dłuższym okresie nieaktywności) o 13%. Na przynależność do poszczególnych kategorii wpływa też posiadanie dyplomu potwierdzającego kwalifikacje zawodowe (w analizie uwzględniono jedynie te dyplomy, które absolwenci uzyskali do 2015 r., a więc roku ukończenia nauki – ich uzyskanie zadeklarowało ok. 90% absolwentów). Osoby z dyplomem, porównywalne z innymi absolwentami pod </w:t>
      </w:r>
      <w:r w:rsidRPr="0018161F">
        <w:lastRenderedPageBreak/>
        <w:t>względem innych charakterystyk, mają większe szanse na pozostawanie wyłącznie w zatrudnieniu po zakończeniu nauki. Jest też mniej prawdopodobne, że pozostaną poza rynkiem pracy i edukacją, mają też mniejsze szanse na pozostawanie wyłącznie w systemie edukacji.  Znaczenie mają także warunki na rynku pracy (w modelu uwzględnione w postaci wskaźnika bezrobocia osób w wieku 25-34 w powiecie z roku 2014, a więc w roku poprzedzającym ukończenie szkoły). Jedno odchylenie standardowe (ok. 3,3 pkt. proc.) wskaźnika bezrobocia, zmniejsza o ok. 5% prawdopodobieństwo pozostawania wyłącznie w zatrudnieniu i w podobnym stopniu zwiększa prawdopodobieństwo znalezienia się w kategorii NEET. Obszar ukończonego wykształcenia ma niewielki wpływ przynależność do poszczególnych kategorii absolwentów</w:t>
      </w:r>
      <w:r w:rsidRPr="0018161F">
        <w:rPr>
          <w:vertAlign w:val="superscript"/>
        </w:rPr>
        <w:footnoteReference w:id="3"/>
      </w:r>
      <w:r w:rsidRPr="0018161F">
        <w:t xml:space="preserve">. </w:t>
      </w:r>
    </w:p>
    <w:p w:rsidR="00D60501" w:rsidRPr="0018161F" w:rsidRDefault="00D60501" w:rsidP="00D60501"/>
    <w:p w:rsidR="00D60501" w:rsidRPr="0018161F" w:rsidRDefault="00D60501" w:rsidP="00D60501">
      <w:pPr>
        <w:spacing w:after="200"/>
        <w:rPr>
          <w:rFonts w:ascii="Courier New" w:eastAsiaTheme="minorHAnsi" w:hAnsi="Courier New" w:cs="Courier New"/>
          <w:i/>
          <w:iCs/>
          <w:color w:val="44546A" w:themeColor="text2"/>
          <w:sz w:val="16"/>
          <w:szCs w:val="16"/>
          <w:lang w:eastAsia="en-US"/>
        </w:rPr>
      </w:pPr>
      <w:r w:rsidRPr="0018161F">
        <w:rPr>
          <w:rFonts w:eastAsiaTheme="minorHAnsi" w:cstheme="minorBidi"/>
          <w:i/>
          <w:iCs/>
          <w:color w:val="44546A" w:themeColor="text2"/>
          <w:sz w:val="20"/>
          <w:szCs w:val="18"/>
          <w:lang w:eastAsia="en-US"/>
        </w:rPr>
        <w:t xml:space="preserve">Tabela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Tabela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14</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Wpływ wybranych zmiennych na prawdopodobieństwo zatrudnienia i nauki absolwentów zasadniczych szkół zawodowych (średnie efekty krańcowe w logistycznej regresji wielomianowej)</w:t>
      </w:r>
    </w:p>
    <w:tbl>
      <w:tblPr>
        <w:tblStyle w:val="Tabela-Siatka"/>
        <w:tblW w:w="0" w:type="auto"/>
        <w:tblLook w:val="04A0" w:firstRow="1" w:lastRow="0" w:firstColumn="1" w:lastColumn="0" w:noHBand="0" w:noVBand="1"/>
      </w:tblPr>
      <w:tblGrid>
        <w:gridCol w:w="2263"/>
        <w:gridCol w:w="1361"/>
        <w:gridCol w:w="1813"/>
        <w:gridCol w:w="1812"/>
        <w:gridCol w:w="1813"/>
      </w:tblGrid>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p>
        </w:tc>
        <w:tc>
          <w:tcPr>
            <w:tcW w:w="1361" w:type="dxa"/>
            <w:shd w:val="clear" w:color="auto" w:fill="D9D9D9" w:themeFill="background1" w:themeFillShade="D9"/>
            <w:vAlign w:val="center"/>
          </w:tcPr>
          <w:p w:rsidR="00D60501" w:rsidRPr="0018161F" w:rsidRDefault="00D60501" w:rsidP="00C65846">
            <w:pPr>
              <w:jc w:val="center"/>
              <w:rPr>
                <w:rFonts w:asciiTheme="majorHAnsi" w:hAnsiTheme="majorHAnsi" w:cstheme="majorHAnsi"/>
                <w:sz w:val="20"/>
                <w:szCs w:val="20"/>
              </w:rPr>
            </w:pPr>
          </w:p>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color w:val="000000"/>
                <w:sz w:val="20"/>
                <w:szCs w:val="20"/>
              </w:rPr>
              <w:t>Pracujący</w:t>
            </w:r>
          </w:p>
        </w:tc>
        <w:tc>
          <w:tcPr>
            <w:tcW w:w="1813" w:type="dxa"/>
            <w:shd w:val="clear" w:color="auto" w:fill="D9D9D9" w:themeFill="background1" w:themeFillShade="D9"/>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color w:val="000000"/>
                <w:sz w:val="20"/>
                <w:szCs w:val="20"/>
              </w:rPr>
              <w:t>Łączący pracę z nauką</w:t>
            </w:r>
          </w:p>
        </w:tc>
        <w:tc>
          <w:tcPr>
            <w:tcW w:w="1812" w:type="dxa"/>
            <w:shd w:val="clear" w:color="auto" w:fill="D9D9D9" w:themeFill="background1" w:themeFillShade="D9"/>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color w:val="000000"/>
                <w:sz w:val="20"/>
                <w:szCs w:val="20"/>
              </w:rPr>
              <w:t>Uczący się</w:t>
            </w:r>
          </w:p>
        </w:tc>
        <w:tc>
          <w:tcPr>
            <w:tcW w:w="1813" w:type="dxa"/>
            <w:shd w:val="clear" w:color="auto" w:fill="D9D9D9" w:themeFill="background1" w:themeFillShade="D9"/>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color w:val="000000"/>
                <w:sz w:val="20"/>
                <w:szCs w:val="20"/>
              </w:rPr>
              <w:t>Nieaktywni</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b/>
                <w:sz w:val="20"/>
                <w:szCs w:val="20"/>
              </w:rPr>
              <w:t>Płeć</w:t>
            </w:r>
            <w:r w:rsidRPr="0018161F">
              <w:rPr>
                <w:rFonts w:asciiTheme="majorHAnsi" w:hAnsiTheme="majorHAnsi" w:cstheme="majorHAnsi"/>
                <w:sz w:val="20"/>
                <w:szCs w:val="20"/>
              </w:rPr>
              <w:t xml:space="preserve"> (kobieta=1)</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-0.167**</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0.042</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0.107*</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0.018</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b/>
                <w:sz w:val="20"/>
                <w:szCs w:val="20"/>
              </w:rPr>
            </w:pPr>
            <w:r w:rsidRPr="0018161F">
              <w:rPr>
                <w:rFonts w:asciiTheme="majorHAnsi" w:hAnsiTheme="majorHAnsi" w:cstheme="majorHAnsi"/>
                <w:b/>
                <w:sz w:val="20"/>
                <w:szCs w:val="20"/>
              </w:rPr>
              <w:t>Obszar kształcenia</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rPr>
            </w:pPr>
          </w:p>
        </w:tc>
        <w:tc>
          <w:tcPr>
            <w:tcW w:w="1813" w:type="dxa"/>
            <w:vAlign w:val="center"/>
          </w:tcPr>
          <w:p w:rsidR="00D60501" w:rsidRPr="0018161F" w:rsidRDefault="00D60501" w:rsidP="00C65846">
            <w:pPr>
              <w:spacing w:after="120"/>
              <w:ind w:left="2760"/>
              <w:jc w:val="center"/>
              <w:rPr>
                <w:rFonts w:asciiTheme="majorHAnsi" w:hAnsiTheme="majorHAnsi" w:cstheme="majorHAnsi"/>
                <w:sz w:val="20"/>
                <w:szCs w:val="20"/>
              </w:rPr>
            </w:pPr>
          </w:p>
        </w:tc>
        <w:tc>
          <w:tcPr>
            <w:tcW w:w="1812" w:type="dxa"/>
            <w:vAlign w:val="center"/>
          </w:tcPr>
          <w:p w:rsidR="00D60501" w:rsidRPr="0018161F" w:rsidRDefault="00D60501" w:rsidP="00C65846">
            <w:pPr>
              <w:spacing w:after="120"/>
              <w:ind w:left="2760"/>
              <w:jc w:val="center"/>
              <w:rPr>
                <w:rFonts w:asciiTheme="majorHAnsi" w:hAnsiTheme="majorHAnsi" w:cstheme="majorHAnsi"/>
                <w:sz w:val="20"/>
                <w:szCs w:val="20"/>
              </w:rPr>
            </w:pPr>
          </w:p>
        </w:tc>
        <w:tc>
          <w:tcPr>
            <w:tcW w:w="1813" w:type="dxa"/>
            <w:vAlign w:val="center"/>
          </w:tcPr>
          <w:p w:rsidR="00D60501" w:rsidRPr="0018161F" w:rsidRDefault="00D60501" w:rsidP="00C65846">
            <w:pPr>
              <w:spacing w:after="120"/>
              <w:ind w:left="2760"/>
              <w:jc w:val="center"/>
              <w:rPr>
                <w:rFonts w:asciiTheme="majorHAnsi" w:hAnsiTheme="majorHAnsi" w:cstheme="majorHAnsi"/>
                <w:sz w:val="20"/>
                <w:szCs w:val="20"/>
              </w:rPr>
            </w:pP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BU vs AU</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-0.012</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-0.008</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-0.002</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0.022</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EE,MG vs AU</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0.034</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0.016</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0.037</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-0.086</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TG,R,M vs AU</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-0.065</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0.021</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0.030</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0.014</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EE,MG vs BU</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0.046</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0.024</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0.039</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-0.109</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TG,R,M vs BU</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-0.053</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0.029</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0.032</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-0.008</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TG,R,M vs EE,MG</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-0.098</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0.005</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-0.007</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0.101*</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b/>
                <w:sz w:val="20"/>
                <w:szCs w:val="20"/>
              </w:rPr>
              <w:t xml:space="preserve">Dyplom potwierdzający kwalifikacje uzyskany w 2015 </w:t>
            </w:r>
            <w:r w:rsidRPr="0018161F">
              <w:rPr>
                <w:rFonts w:asciiTheme="majorHAnsi" w:hAnsiTheme="majorHAnsi" w:cstheme="majorHAnsi"/>
                <w:sz w:val="20"/>
                <w:szCs w:val="20"/>
              </w:rPr>
              <w:t>(tak=1)</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lang w:val="en-GB"/>
              </w:rPr>
              <w:t>0.068***</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lang w:val="en-GB"/>
              </w:rPr>
              <w:t>-0.002</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lang w:val="en-GB"/>
              </w:rPr>
              <w:t>-0.022**</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lang w:val="en-GB"/>
              </w:rPr>
              <w:t>-0.044***</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b/>
                <w:sz w:val="20"/>
                <w:szCs w:val="20"/>
              </w:rPr>
              <w:t xml:space="preserve">Powtarzanie klasy </w:t>
            </w:r>
            <w:r w:rsidRPr="0018161F">
              <w:rPr>
                <w:rFonts w:asciiTheme="majorHAnsi" w:hAnsiTheme="majorHAnsi" w:cstheme="majorHAnsi"/>
                <w:sz w:val="20"/>
                <w:szCs w:val="20"/>
              </w:rPr>
              <w:t>(tak=1)</w:t>
            </w:r>
            <w:r w:rsidRPr="0018161F" w:rsidDel="002062F0">
              <w:rPr>
                <w:rFonts w:asciiTheme="majorHAnsi" w:hAnsiTheme="majorHAnsi" w:cstheme="majorHAnsi"/>
                <w:sz w:val="20"/>
                <w:szCs w:val="20"/>
              </w:rPr>
              <w:t xml:space="preserve"> </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-0.030</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-0.008</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0.076</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-0.038</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b/>
                <w:sz w:val="20"/>
                <w:szCs w:val="20"/>
              </w:rPr>
              <w:lastRenderedPageBreak/>
              <w:t>Posiadanie pracy przed ukończeniem nauki (czerwcem 2015)</w:t>
            </w:r>
            <w:r w:rsidRPr="0018161F">
              <w:rPr>
                <w:rFonts w:asciiTheme="majorHAnsi" w:hAnsiTheme="majorHAnsi" w:cstheme="majorHAnsi"/>
                <w:sz w:val="20"/>
                <w:szCs w:val="20"/>
              </w:rPr>
              <w:t xml:space="preserve"> (tak=1)</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0.074</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0.124*</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-0.063</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-0.135**</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b/>
                <w:sz w:val="20"/>
                <w:szCs w:val="20"/>
              </w:rPr>
              <w:t>Udział bezrobotnych w wieku 25-34 lata w 2014 roku w powiecie zamieszkania (</w:t>
            </w:r>
            <w:r w:rsidRPr="0018161F">
              <w:rPr>
                <w:rFonts w:asciiTheme="majorHAnsi" w:hAnsiTheme="majorHAnsi" w:cstheme="majorHAnsi"/>
                <w:sz w:val="20"/>
                <w:szCs w:val="20"/>
              </w:rPr>
              <w:t>+ 1 odchylenie standardowe)</w:t>
            </w:r>
          </w:p>
        </w:tc>
        <w:tc>
          <w:tcPr>
            <w:tcW w:w="1361"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-0.053*</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-0.009</w:t>
            </w:r>
          </w:p>
        </w:tc>
        <w:tc>
          <w:tcPr>
            <w:tcW w:w="1812"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0.018</w:t>
            </w:r>
          </w:p>
        </w:tc>
        <w:tc>
          <w:tcPr>
            <w:tcW w:w="1813" w:type="dxa"/>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0.044*</w:t>
            </w:r>
          </w:p>
        </w:tc>
      </w:tr>
    </w:tbl>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 p &lt; 0.05, ** p &lt; 0.01, *** p &lt; 0.001. Skróty obszarów kształcenia: AU - obszar administracyjno-usługowy, BU - Obszar budowlany, EE, MG - Obszary elektroniczno-elektryczny, mechaniczno-górniczy;  TH, R, M -obszary turystyczno-gastronomiczny, rolny i medyczny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pPr>
        <w:keepNext/>
        <w:widowControl w:val="0"/>
        <w:autoSpaceDE w:val="0"/>
        <w:autoSpaceDN w:val="0"/>
        <w:adjustRightInd w:val="0"/>
        <w:rPr>
          <w:rFonts w:cstheme="minorHAnsi"/>
        </w:rPr>
      </w:pPr>
      <w:r w:rsidRPr="0018161F">
        <w:rPr>
          <w:rFonts w:cstheme="minorHAnsi"/>
        </w:rPr>
        <w:t xml:space="preserve">Uzyskane wyniki warto porównać z wynikami dla absolwentów techników. Efekt płci różnicuje absolwentów w podobny sposób, jak w zasadniczych szkołach zawodowych. Bycie kobietą (ok. 39% absolwentów techników) zmniejsza prawdopodobieństwo pozostawania wyłącznie w zatrudnieniu i oznacza większe prawdopodobieństwo funkcjonowania poza rynkiem pracy (wyłącznie w edukacji lub nieaktywności). Silniejszy niż w przypadku absolwentów zasadniczych szkół zawodowych jest też efekt posiadania pracy przed ukończeniem szkoły (podobnie jak w przypadku zasadniczych szkół zawodowych ok. 10% absolwentów). Jest mniej prawdopodobne, że osoby mające pracę przed zakończeniem nauki będą wyłącznie się uczyć lub pozostawać poza rynkiem pracy i edukacji i bardziej prawdopodobne, że będą wyłącznie pracować bądź łączyć pracę z nauką. </w:t>
      </w:r>
    </w:p>
    <w:p w:rsidR="00D60501" w:rsidRPr="0018161F" w:rsidRDefault="00D60501" w:rsidP="00D60501">
      <w:pPr>
        <w:keepNext/>
        <w:widowControl w:val="0"/>
        <w:autoSpaceDE w:val="0"/>
        <w:autoSpaceDN w:val="0"/>
        <w:adjustRightInd w:val="0"/>
        <w:rPr>
          <w:rFonts w:cstheme="minorHAnsi"/>
        </w:rPr>
      </w:pPr>
      <w:r w:rsidRPr="0018161F">
        <w:rPr>
          <w:rFonts w:cstheme="minorHAnsi"/>
        </w:rPr>
        <w:t>W wynikach dotyczących absolwentów techników bardziej wyraźny jest negatywny efekt powtarzania klasy dalsze kształcenie: osoby mające za sobą doświadczenie powtarzania klasy (ok. 4% absolwentów techników), mają ok. 14% niższe prawdopodobieństwo bycia wyłącznie w edukacji. Czynnik ten nie miał znaczenia w przypadku absolwentów zasadniczych szkół zawodowych, w przypadku których można zauważyć bardzo słaby pozytywny wpływ powtarzania klasy na kontynuowanie edukacji. Świadczy to o różnicach w selekcji do dalszej edukacji w przypadku absolwentów różnych typów szkół.</w:t>
      </w:r>
    </w:p>
    <w:p w:rsidR="00D60501" w:rsidRPr="0018161F" w:rsidRDefault="00D60501" w:rsidP="00D60501">
      <w:pPr>
        <w:keepNext/>
        <w:widowControl w:val="0"/>
        <w:autoSpaceDE w:val="0"/>
        <w:autoSpaceDN w:val="0"/>
        <w:adjustRightInd w:val="0"/>
        <w:rPr>
          <w:rFonts w:cstheme="minorHAnsi"/>
        </w:rPr>
      </w:pPr>
      <w:r w:rsidRPr="0018161F">
        <w:rPr>
          <w:rFonts w:cstheme="minorHAnsi"/>
        </w:rPr>
        <w:t xml:space="preserve">Obserwujemy także niewielki, ale statystycznie istotny efekt posiadania dyplomu potwierdzającego kwalifikacje zawodowe (81% absolwentów): posiadanie kwalifikacji pozytywnie wpływa na pozostawanie wyłącznie w edukacji i zmniejsza ryzyko bycia w kategorii NEET. Nie wpływa natomiast na szanse pozostawania wyłącznie w zatrudnieniu i </w:t>
      </w:r>
      <w:r w:rsidRPr="0018161F">
        <w:rPr>
          <w:rFonts w:cstheme="minorHAnsi"/>
        </w:rPr>
        <w:lastRenderedPageBreak/>
        <w:t xml:space="preserve">łączenia pracy z nauką. </w:t>
      </w:r>
    </w:p>
    <w:p w:rsidR="00D60501" w:rsidRPr="0018161F" w:rsidRDefault="00D60501" w:rsidP="00D60501">
      <w:pPr>
        <w:keepNext/>
        <w:widowControl w:val="0"/>
        <w:autoSpaceDE w:val="0"/>
        <w:autoSpaceDN w:val="0"/>
        <w:adjustRightInd w:val="0"/>
        <w:rPr>
          <w:rFonts w:cstheme="minorHAnsi"/>
        </w:rPr>
      </w:pPr>
      <w:r w:rsidRPr="0018161F">
        <w:rPr>
          <w:rFonts w:cstheme="minorHAnsi"/>
        </w:rPr>
        <w:t>Wpływ poziomu bezrobocia jest odmienny wśród absolwentów techników niż wśród absolwentów zasadniczych szkół zawodowych. W przypadku techników, wyższe bezrobocie nie sprzyja pozostawaniu w edukacji lub łączeniu edukacji z nauką, ale zwiększa prawdopodobieństwo posiadania pracy lub pozostawaniu poza systemem edukacji i pracy.</w:t>
      </w:r>
    </w:p>
    <w:p w:rsidR="00D60501" w:rsidRPr="0018161F" w:rsidRDefault="00D60501" w:rsidP="00D60501">
      <w:pPr>
        <w:keepNext/>
        <w:widowControl w:val="0"/>
        <w:autoSpaceDE w:val="0"/>
        <w:autoSpaceDN w:val="0"/>
        <w:adjustRightInd w:val="0"/>
        <w:rPr>
          <w:rFonts w:cstheme="minorHAnsi"/>
        </w:rPr>
      </w:pPr>
      <w:r w:rsidRPr="0018161F">
        <w:rPr>
          <w:rFonts w:cstheme="minorHAnsi"/>
        </w:rPr>
        <w:t>Wśród absolwentów techników występują też nieco większe różnice między obszarami kształcenia: największe w przypadku porównania obszarów turystyczno-gastronomicznego, rolnego i medycznego (38% absolwentów techników) z elektroniczno-elektrycznym i mechaniczno-górniczym. Kształcenie w ramach tego pierwszego obszaru w większym stopniu wpływa na pozostawanie wyłącznie w zatrudnieniu i zmniejsza szanse na pozostawanie wyłącznie w edukacji.</w:t>
      </w:r>
    </w:p>
    <w:p w:rsidR="00D60501" w:rsidRPr="0018161F" w:rsidRDefault="00D60501" w:rsidP="00D60501">
      <w:pPr>
        <w:keepNext/>
        <w:widowControl w:val="0"/>
        <w:autoSpaceDE w:val="0"/>
        <w:autoSpaceDN w:val="0"/>
        <w:adjustRightInd w:val="0"/>
        <w:spacing w:line="240" w:lineRule="auto"/>
        <w:rPr>
          <w:rFonts w:cstheme="minorHAnsi"/>
        </w:rPr>
      </w:pPr>
    </w:p>
    <w:p w:rsidR="00D60501" w:rsidRPr="0018161F" w:rsidRDefault="00D60501" w:rsidP="00D60501">
      <w:pPr>
        <w:spacing w:after="200"/>
        <w:rPr>
          <w:rFonts w:ascii="Courier New" w:eastAsiaTheme="minorHAnsi" w:hAnsi="Courier New" w:cs="Courier New"/>
          <w:i/>
          <w:iCs/>
          <w:color w:val="44546A" w:themeColor="text2"/>
          <w:sz w:val="16"/>
          <w:szCs w:val="16"/>
          <w:lang w:eastAsia="en-US"/>
        </w:rPr>
      </w:pPr>
      <w:r w:rsidRPr="0018161F">
        <w:rPr>
          <w:rFonts w:eastAsiaTheme="minorHAnsi" w:cstheme="minorBidi"/>
          <w:i/>
          <w:iCs/>
          <w:color w:val="44546A" w:themeColor="text2"/>
          <w:sz w:val="20"/>
          <w:szCs w:val="18"/>
          <w:lang w:eastAsia="en-US"/>
        </w:rPr>
        <w:t xml:space="preserve">Tabela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Tabela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15</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Wpływ wybranych zmiennych na prawdopodobieństwo zatrudnienia i nauki absolwentów techników (średnie efekty krańcowe w logistycznej regresji wielomianowej)</w:t>
      </w:r>
    </w:p>
    <w:tbl>
      <w:tblPr>
        <w:tblStyle w:val="Tabela-Siatka"/>
        <w:tblW w:w="0" w:type="auto"/>
        <w:tblLook w:val="04A0" w:firstRow="1" w:lastRow="0" w:firstColumn="1" w:lastColumn="0" w:noHBand="0" w:noVBand="1"/>
      </w:tblPr>
      <w:tblGrid>
        <w:gridCol w:w="2263"/>
        <w:gridCol w:w="1699"/>
        <w:gridCol w:w="1700"/>
        <w:gridCol w:w="1700"/>
        <w:gridCol w:w="1700"/>
      </w:tblGrid>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p>
        </w:tc>
        <w:tc>
          <w:tcPr>
            <w:tcW w:w="1699" w:type="dxa"/>
            <w:shd w:val="clear" w:color="auto" w:fill="D9D9D9" w:themeFill="background1" w:themeFillShade="D9"/>
            <w:vAlign w:val="center"/>
          </w:tcPr>
          <w:p w:rsidR="00D60501" w:rsidRPr="0018161F" w:rsidRDefault="00D60501" w:rsidP="00C65846">
            <w:pPr>
              <w:jc w:val="center"/>
              <w:rPr>
                <w:rFonts w:asciiTheme="majorHAnsi" w:hAnsiTheme="majorHAnsi" w:cstheme="majorHAnsi"/>
                <w:sz w:val="20"/>
                <w:szCs w:val="20"/>
              </w:rPr>
            </w:pPr>
          </w:p>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color w:val="000000"/>
                <w:sz w:val="20"/>
                <w:szCs w:val="20"/>
              </w:rPr>
              <w:t>Pracujący</w:t>
            </w:r>
          </w:p>
        </w:tc>
        <w:tc>
          <w:tcPr>
            <w:tcW w:w="1700" w:type="dxa"/>
            <w:shd w:val="clear" w:color="auto" w:fill="D9D9D9" w:themeFill="background1" w:themeFillShade="D9"/>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color w:val="000000"/>
                <w:sz w:val="20"/>
                <w:szCs w:val="20"/>
              </w:rPr>
              <w:t>Łączący pracę z nauką</w:t>
            </w:r>
          </w:p>
        </w:tc>
        <w:tc>
          <w:tcPr>
            <w:tcW w:w="1700" w:type="dxa"/>
            <w:shd w:val="clear" w:color="auto" w:fill="D9D9D9" w:themeFill="background1" w:themeFillShade="D9"/>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color w:val="000000"/>
                <w:sz w:val="20"/>
                <w:szCs w:val="20"/>
              </w:rPr>
              <w:t>Uczący się</w:t>
            </w:r>
          </w:p>
        </w:tc>
        <w:tc>
          <w:tcPr>
            <w:tcW w:w="1700" w:type="dxa"/>
            <w:shd w:val="clear" w:color="auto" w:fill="D9D9D9" w:themeFill="background1" w:themeFillShade="D9"/>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color w:val="000000"/>
                <w:sz w:val="20"/>
                <w:szCs w:val="20"/>
              </w:rPr>
              <w:t>Nieaktywni</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b/>
                <w:sz w:val="20"/>
                <w:szCs w:val="20"/>
              </w:rPr>
              <w:t xml:space="preserve">Płeć </w:t>
            </w:r>
            <w:r w:rsidRPr="0018161F">
              <w:rPr>
                <w:rFonts w:asciiTheme="majorHAnsi" w:hAnsiTheme="majorHAnsi" w:cstheme="majorHAnsi"/>
                <w:sz w:val="20"/>
                <w:szCs w:val="20"/>
              </w:rPr>
              <w:t>(Kobieta =1)</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-0.162***</w:t>
            </w:r>
          </w:p>
        </w:tc>
        <w:tc>
          <w:tcPr>
            <w:tcW w:w="1700"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0.012</w:t>
            </w:r>
          </w:p>
        </w:tc>
        <w:tc>
          <w:tcPr>
            <w:tcW w:w="1700"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0.082**</w:t>
            </w:r>
          </w:p>
        </w:tc>
        <w:tc>
          <w:tcPr>
            <w:tcW w:w="1700" w:type="dxa"/>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sz w:val="20"/>
                <w:szCs w:val="20"/>
              </w:rPr>
              <w:t>0.068**</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b/>
                <w:sz w:val="20"/>
                <w:szCs w:val="20"/>
              </w:rPr>
            </w:pPr>
            <w:r w:rsidRPr="0018161F">
              <w:rPr>
                <w:rFonts w:asciiTheme="majorHAnsi" w:hAnsiTheme="majorHAnsi" w:cstheme="majorHAnsi"/>
                <w:b/>
                <w:sz w:val="20"/>
                <w:szCs w:val="20"/>
              </w:rPr>
              <w:t>Obszar kształcenia</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BU vs AU</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0.026</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-0.102*</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0.011</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0.065</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EE,MG vs AU</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-0.046</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-0.086*</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0.090</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0.043</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TG,R,M vs AU</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0.080</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-0.054</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-0.045</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0.019</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EE,MG vs BU</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-0.072</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0.016</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0.079</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-0.022</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TG,R,M vs BU</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0.054</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0.048</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-0.056</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-0.046</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lang w:val="en-GB"/>
              </w:rPr>
            </w:pPr>
            <w:r w:rsidRPr="0018161F">
              <w:rPr>
                <w:rFonts w:asciiTheme="majorHAnsi" w:hAnsiTheme="majorHAnsi" w:cstheme="majorHAnsi"/>
                <w:sz w:val="20"/>
                <w:szCs w:val="20"/>
                <w:lang w:val="en-GB"/>
              </w:rPr>
              <w:t>TG,R,M vs EE,MG</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0.126**</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0.032</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-0.134***</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-0.024</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b/>
                <w:sz w:val="20"/>
                <w:szCs w:val="20"/>
              </w:rPr>
            </w:pPr>
            <w:r w:rsidRPr="0018161F">
              <w:rPr>
                <w:rFonts w:asciiTheme="majorHAnsi" w:hAnsiTheme="majorHAnsi" w:cstheme="majorHAnsi"/>
                <w:b/>
                <w:sz w:val="20"/>
                <w:szCs w:val="20"/>
              </w:rPr>
              <w:t xml:space="preserve">Dyplom potwierdzający kwalifikacje uzyskany w 2015 </w:t>
            </w:r>
            <w:r w:rsidRPr="0018161F">
              <w:rPr>
                <w:rFonts w:asciiTheme="majorHAnsi" w:hAnsiTheme="majorHAnsi" w:cstheme="majorHAnsi"/>
                <w:sz w:val="20"/>
                <w:szCs w:val="20"/>
              </w:rPr>
              <w:t>(tak=1)</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cstheme="minorHAnsi"/>
                <w:sz w:val="20"/>
                <w:szCs w:val="20"/>
              </w:rPr>
              <w:t>-0.008</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cstheme="minorHAnsi"/>
                <w:sz w:val="20"/>
                <w:szCs w:val="20"/>
              </w:rPr>
              <w:t>0.000</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cstheme="minorHAnsi"/>
                <w:sz w:val="20"/>
                <w:szCs w:val="20"/>
              </w:rPr>
              <w:t>0.038*</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cstheme="minorHAnsi"/>
                <w:sz w:val="20"/>
                <w:szCs w:val="20"/>
              </w:rPr>
              <w:t>-0.031***</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b/>
                <w:sz w:val="20"/>
                <w:szCs w:val="20"/>
              </w:rPr>
            </w:pPr>
            <w:r w:rsidRPr="0018161F">
              <w:rPr>
                <w:rFonts w:asciiTheme="majorHAnsi" w:hAnsiTheme="majorHAnsi" w:cstheme="majorHAnsi"/>
                <w:b/>
                <w:sz w:val="20"/>
                <w:szCs w:val="20"/>
              </w:rPr>
              <w:t xml:space="preserve">Powtarzanie klasy </w:t>
            </w:r>
            <w:r w:rsidRPr="0018161F">
              <w:rPr>
                <w:rFonts w:asciiTheme="majorHAnsi" w:hAnsiTheme="majorHAnsi" w:cstheme="majorHAnsi"/>
                <w:sz w:val="20"/>
                <w:szCs w:val="20"/>
              </w:rPr>
              <w:t>(tak=1)</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0.108</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-0.068</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-0.139</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0.099</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b/>
                <w:sz w:val="20"/>
                <w:szCs w:val="20"/>
              </w:rPr>
            </w:pPr>
            <w:r w:rsidRPr="0018161F">
              <w:rPr>
                <w:rFonts w:asciiTheme="majorHAnsi" w:hAnsiTheme="majorHAnsi" w:cstheme="majorHAnsi"/>
                <w:b/>
                <w:sz w:val="20"/>
                <w:szCs w:val="20"/>
              </w:rPr>
              <w:t xml:space="preserve">Posiadanie pracy przed czerwcem 2015 </w:t>
            </w:r>
            <w:r w:rsidRPr="0018161F">
              <w:rPr>
                <w:rFonts w:asciiTheme="majorHAnsi" w:hAnsiTheme="majorHAnsi" w:cstheme="majorHAnsi"/>
                <w:sz w:val="20"/>
                <w:szCs w:val="20"/>
              </w:rPr>
              <w:t>(tak=1)</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0.264***</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0.101**</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-0.210***</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-0.155***</w:t>
            </w:r>
          </w:p>
        </w:tc>
      </w:tr>
      <w:tr w:rsidR="00D60501" w:rsidRPr="0018161F" w:rsidTr="00C65846">
        <w:tc>
          <w:tcPr>
            <w:tcW w:w="2263" w:type="dxa"/>
            <w:shd w:val="clear" w:color="auto" w:fill="BFBFBF" w:themeFill="background1" w:themeFillShade="BF"/>
            <w:vAlign w:val="center"/>
          </w:tcPr>
          <w:p w:rsidR="00D60501" w:rsidRPr="0018161F" w:rsidRDefault="00D60501" w:rsidP="00C65846">
            <w:pPr>
              <w:spacing w:after="120"/>
              <w:jc w:val="center"/>
              <w:rPr>
                <w:rFonts w:asciiTheme="majorHAnsi" w:hAnsiTheme="majorHAnsi" w:cstheme="majorHAnsi"/>
                <w:sz w:val="20"/>
                <w:szCs w:val="20"/>
              </w:rPr>
            </w:pPr>
            <w:r w:rsidRPr="0018161F">
              <w:rPr>
                <w:rFonts w:asciiTheme="majorHAnsi" w:hAnsiTheme="majorHAnsi" w:cstheme="majorHAnsi"/>
                <w:b/>
                <w:sz w:val="20"/>
                <w:szCs w:val="20"/>
              </w:rPr>
              <w:t xml:space="preserve">Udział bezrobotnych w wieku 25-34 lata w 2014 </w:t>
            </w:r>
            <w:r w:rsidRPr="0018161F">
              <w:rPr>
                <w:rFonts w:asciiTheme="majorHAnsi" w:hAnsiTheme="majorHAnsi" w:cstheme="majorHAnsi"/>
                <w:b/>
                <w:sz w:val="20"/>
                <w:szCs w:val="20"/>
              </w:rPr>
              <w:lastRenderedPageBreak/>
              <w:t>roku (</w:t>
            </w:r>
            <w:r w:rsidRPr="0018161F">
              <w:rPr>
                <w:rFonts w:asciiTheme="majorHAnsi" w:hAnsiTheme="majorHAnsi" w:cstheme="majorHAnsi"/>
                <w:sz w:val="20"/>
                <w:szCs w:val="20"/>
              </w:rPr>
              <w:t>+ 1 odchylenie standardowe)</w:t>
            </w:r>
          </w:p>
        </w:tc>
        <w:tc>
          <w:tcPr>
            <w:tcW w:w="1699"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lastRenderedPageBreak/>
              <w:t>0.040***</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-0.023*</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-0.057***</w:t>
            </w:r>
          </w:p>
        </w:tc>
        <w:tc>
          <w:tcPr>
            <w:tcW w:w="1700" w:type="dxa"/>
            <w:vAlign w:val="center"/>
          </w:tcPr>
          <w:p w:rsidR="00D60501" w:rsidRPr="0018161F" w:rsidRDefault="00D60501" w:rsidP="00C65846">
            <w:pPr>
              <w:spacing w:after="120"/>
              <w:ind w:left="116"/>
              <w:jc w:val="center"/>
              <w:rPr>
                <w:rFonts w:asciiTheme="majorHAnsi" w:hAnsiTheme="majorHAnsi" w:cstheme="majorHAnsi"/>
                <w:sz w:val="20"/>
                <w:szCs w:val="20"/>
              </w:rPr>
            </w:pPr>
            <w:r w:rsidRPr="0018161F">
              <w:rPr>
                <w:rFonts w:asciiTheme="majorHAnsi" w:hAnsiTheme="majorHAnsi" w:cstheme="majorHAnsi"/>
                <w:sz w:val="20"/>
                <w:szCs w:val="20"/>
              </w:rPr>
              <w:t>0.041***</w:t>
            </w:r>
          </w:p>
        </w:tc>
      </w:tr>
    </w:tbl>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 p &lt; 0.05, ** p &lt; 0.01, *** p &lt; 0.001. Skróty obszarów kształcenia: AU - obszar administracyjno-usługowy, BU - Obszar budowlany, EE, MG - Obszary elektroniczno-elektryczny, mechaniczno-górniczy;  TH, R, M -obszary turystyczno-gastronomiczny, rolny i medyczny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pPr>
        <w:keepNext/>
        <w:keepLines/>
        <w:spacing w:before="40"/>
        <w:outlineLvl w:val="2"/>
        <w:rPr>
          <w:rFonts w:eastAsiaTheme="majorEastAsia" w:cstheme="majorBidi"/>
          <w:b/>
          <w:i/>
          <w:color w:val="000000" w:themeColor="text1"/>
        </w:rPr>
      </w:pPr>
    </w:p>
    <w:p w:rsidR="00D60501" w:rsidRPr="0018161F" w:rsidRDefault="00D60501" w:rsidP="00D60501">
      <w:pPr>
        <w:keepNext/>
        <w:keepLines/>
        <w:spacing w:before="40"/>
        <w:outlineLvl w:val="2"/>
        <w:rPr>
          <w:rFonts w:eastAsiaTheme="majorEastAsia" w:cstheme="majorBidi"/>
          <w:b/>
          <w:i/>
          <w:color w:val="000000" w:themeColor="text1"/>
        </w:rPr>
      </w:pPr>
      <w:bookmarkStart w:id="2" w:name="_Toc529951295"/>
      <w:r w:rsidRPr="0018161F">
        <w:rPr>
          <w:rFonts w:eastAsiaTheme="majorEastAsia" w:cstheme="majorBidi"/>
          <w:b/>
          <w:i/>
          <w:color w:val="000000" w:themeColor="text1"/>
        </w:rPr>
        <w:t>Forma zatrudnienia</w:t>
      </w:r>
      <w:bookmarkEnd w:id="2"/>
    </w:p>
    <w:p w:rsidR="00D60501" w:rsidRPr="0018161F" w:rsidRDefault="00D60501" w:rsidP="00D60501">
      <w:r w:rsidRPr="0018161F">
        <w:t>Dotychczas traktowaliśmy pracę jako jednorodną kategorię. W analizowanym badaniu pytano absolwentów nie tylko o początek i koniec zatrudnienia, ale też o jego podstawą prawną. Odpowiedzi respondentów wskazują, że najczęstszym sposobem wchodzenia na rynek pracy jest podjęcie zatrudnienia na podstawie umowy o pracę, poprzedzone krótszym lub dłuższym okresem nieaktywności zawodowej i edukacyjnej lub kształcenia się. Do rzadkości należały umowy cywilno-prawne. Wyjątkiem są też nieliczne osoby, które pracowały we własnym gospodarstwie rolnym lub podjęły własną działalność gospodarczą, które najczęściej miały tą formę pracy przez cały lub większość obserwowanego okresu.</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Tabela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Tabela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16</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Odsetek absolwentów posiadających doświadczenie różnych form aktywności zawodowej i średnia liczba miesięcy pozostawania w aktywności zawodowej w trakcie 22 miesięcy po zakończeniu nauki</w:t>
      </w:r>
    </w:p>
    <w:tbl>
      <w:tblPr>
        <w:tblStyle w:val="Jasnecieniowanie"/>
        <w:tblW w:w="9288" w:type="dxa"/>
        <w:tblLook w:val="04A0" w:firstRow="1" w:lastRow="0" w:firstColumn="1" w:lastColumn="0" w:noHBand="0" w:noVBand="1"/>
      </w:tblPr>
      <w:tblGrid>
        <w:gridCol w:w="1954"/>
        <w:gridCol w:w="1352"/>
        <w:gridCol w:w="911"/>
        <w:gridCol w:w="222"/>
        <w:gridCol w:w="1554"/>
        <w:gridCol w:w="911"/>
        <w:gridCol w:w="1554"/>
        <w:gridCol w:w="911"/>
      </w:tblGrid>
      <w:tr w:rsidR="00D60501" w:rsidRPr="0018161F" w:rsidTr="00C658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4" w:type="dxa"/>
            <w:noWrap/>
            <w:hideMark/>
          </w:tcPr>
          <w:p w:rsidR="00D60501" w:rsidRPr="0018161F" w:rsidRDefault="00D60501" w:rsidP="00C65846">
            <w:pPr>
              <w:rPr>
                <w:rFonts w:asciiTheme="majorHAnsi" w:hAnsiTheme="majorHAnsi" w:cstheme="majorHAnsi"/>
                <w:color w:val="000000"/>
                <w:sz w:val="20"/>
                <w:szCs w:val="20"/>
              </w:rPr>
            </w:pPr>
          </w:p>
        </w:tc>
        <w:tc>
          <w:tcPr>
            <w:tcW w:w="1338" w:type="dxa"/>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Ogółem</w:t>
            </w:r>
          </w:p>
        </w:tc>
        <w:tc>
          <w:tcPr>
            <w:tcW w:w="901" w:type="dxa"/>
            <w:noWrap/>
            <w:hideMark/>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221" w:type="dxa"/>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1536" w:type="dxa"/>
            <w:noWrap/>
            <w:hideMark/>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zasadnicze szkoły zawodowe</w:t>
            </w:r>
          </w:p>
        </w:tc>
        <w:tc>
          <w:tcPr>
            <w:tcW w:w="901" w:type="dxa"/>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1536" w:type="dxa"/>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technika</w:t>
            </w:r>
          </w:p>
        </w:tc>
        <w:tc>
          <w:tcPr>
            <w:tcW w:w="901" w:type="dxa"/>
            <w:noWrap/>
          </w:tcPr>
          <w:p w:rsidR="00D60501" w:rsidRPr="0018161F" w:rsidRDefault="00D60501" w:rsidP="00C658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4" w:type="dxa"/>
            <w:noWrap/>
          </w:tcPr>
          <w:p w:rsidR="00D60501" w:rsidRPr="0018161F" w:rsidRDefault="00D60501" w:rsidP="00C65846">
            <w:pPr>
              <w:rPr>
                <w:rFonts w:asciiTheme="majorHAnsi" w:hAnsiTheme="majorHAnsi" w:cstheme="majorHAnsi"/>
                <w:color w:val="000000"/>
                <w:sz w:val="20"/>
                <w:szCs w:val="20"/>
              </w:rPr>
            </w:pPr>
          </w:p>
        </w:tc>
        <w:tc>
          <w:tcPr>
            <w:tcW w:w="1338" w:type="dxa"/>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Przynajmniej 1 miesiąc w danym stanie (% absolwentów)</w:t>
            </w:r>
          </w:p>
        </w:tc>
        <w:tc>
          <w:tcPr>
            <w:tcW w:w="901" w:type="dxa"/>
            <w:noWrap/>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Średnia liczba miesięcy</w:t>
            </w:r>
          </w:p>
        </w:tc>
        <w:tc>
          <w:tcPr>
            <w:tcW w:w="221" w:type="dxa"/>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c>
          <w:tcPr>
            <w:tcW w:w="1536" w:type="dxa"/>
            <w:noWrap/>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Przynajmniej 1 miesiąc w danym stanie (%absolwentów)</w:t>
            </w:r>
          </w:p>
        </w:tc>
        <w:tc>
          <w:tcPr>
            <w:tcW w:w="901" w:type="dxa"/>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Średnia liczba miesięcy</w:t>
            </w:r>
          </w:p>
        </w:tc>
        <w:tc>
          <w:tcPr>
            <w:tcW w:w="1536" w:type="dxa"/>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Przynajmniej 1 miesiąc w danym stanie (%absolwentów)</w:t>
            </w:r>
          </w:p>
        </w:tc>
        <w:tc>
          <w:tcPr>
            <w:tcW w:w="901" w:type="dxa"/>
            <w:noWrap/>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Średnia liczba miesięcy</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1954"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Nieaktywność zawodowa</w:t>
            </w:r>
          </w:p>
        </w:tc>
        <w:tc>
          <w:tcPr>
            <w:tcW w:w="1338"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75%</w:t>
            </w:r>
          </w:p>
        </w:tc>
        <w:tc>
          <w:tcPr>
            <w:tcW w:w="901" w:type="dxa"/>
            <w:noWrap/>
            <w:vAlign w:val="center"/>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8.4</w:t>
            </w:r>
          </w:p>
        </w:tc>
        <w:tc>
          <w:tcPr>
            <w:tcW w:w="221"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1536" w:type="dxa"/>
            <w:noWrap/>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74%</w:t>
            </w:r>
          </w:p>
        </w:tc>
        <w:tc>
          <w:tcPr>
            <w:tcW w:w="901"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6.9</w:t>
            </w:r>
          </w:p>
        </w:tc>
        <w:tc>
          <w:tcPr>
            <w:tcW w:w="1536"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76%</w:t>
            </w:r>
          </w:p>
        </w:tc>
        <w:tc>
          <w:tcPr>
            <w:tcW w:w="901" w:type="dxa"/>
            <w:noWrap/>
            <w:vAlign w:val="center"/>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9.1</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4"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Umowa o pracę</w:t>
            </w:r>
          </w:p>
        </w:tc>
        <w:tc>
          <w:tcPr>
            <w:tcW w:w="1338"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50%</w:t>
            </w:r>
          </w:p>
        </w:tc>
        <w:tc>
          <w:tcPr>
            <w:tcW w:w="901" w:type="dxa"/>
            <w:noWrap/>
            <w:vAlign w:val="center"/>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10.4</w:t>
            </w:r>
          </w:p>
        </w:tc>
        <w:tc>
          <w:tcPr>
            <w:tcW w:w="221"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c>
          <w:tcPr>
            <w:tcW w:w="1536" w:type="dxa"/>
            <w:noWrap/>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58%</w:t>
            </w:r>
          </w:p>
        </w:tc>
        <w:tc>
          <w:tcPr>
            <w:tcW w:w="901"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12.0</w:t>
            </w:r>
          </w:p>
        </w:tc>
        <w:tc>
          <w:tcPr>
            <w:tcW w:w="1536"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47%</w:t>
            </w:r>
          </w:p>
        </w:tc>
        <w:tc>
          <w:tcPr>
            <w:tcW w:w="901" w:type="dxa"/>
            <w:noWrap/>
            <w:vAlign w:val="center"/>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9.6</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1954"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Umowa cywilno-prawna</w:t>
            </w:r>
          </w:p>
        </w:tc>
        <w:tc>
          <w:tcPr>
            <w:tcW w:w="1338"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9%</w:t>
            </w:r>
          </w:p>
        </w:tc>
        <w:tc>
          <w:tcPr>
            <w:tcW w:w="901" w:type="dxa"/>
            <w:noWrap/>
            <w:vAlign w:val="center"/>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1.2</w:t>
            </w:r>
          </w:p>
        </w:tc>
        <w:tc>
          <w:tcPr>
            <w:tcW w:w="221"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1536" w:type="dxa"/>
            <w:noWrap/>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7%</w:t>
            </w:r>
          </w:p>
        </w:tc>
        <w:tc>
          <w:tcPr>
            <w:tcW w:w="901"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1.1</w:t>
            </w:r>
          </w:p>
        </w:tc>
        <w:tc>
          <w:tcPr>
            <w:tcW w:w="1536"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10%</w:t>
            </w:r>
          </w:p>
        </w:tc>
        <w:tc>
          <w:tcPr>
            <w:tcW w:w="901" w:type="dxa"/>
            <w:noWrap/>
            <w:vAlign w:val="center"/>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1.3</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4"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działalność gospodarcza</w:t>
            </w:r>
          </w:p>
        </w:tc>
        <w:tc>
          <w:tcPr>
            <w:tcW w:w="1338"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2%</w:t>
            </w:r>
          </w:p>
        </w:tc>
        <w:tc>
          <w:tcPr>
            <w:tcW w:w="901" w:type="dxa"/>
            <w:noWrap/>
            <w:vAlign w:val="center"/>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0.4</w:t>
            </w:r>
          </w:p>
        </w:tc>
        <w:tc>
          <w:tcPr>
            <w:tcW w:w="221"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c>
          <w:tcPr>
            <w:tcW w:w="1536" w:type="dxa"/>
            <w:noWrap/>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2%</w:t>
            </w:r>
          </w:p>
        </w:tc>
        <w:tc>
          <w:tcPr>
            <w:tcW w:w="901"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0.5</w:t>
            </w:r>
          </w:p>
        </w:tc>
        <w:tc>
          <w:tcPr>
            <w:tcW w:w="1536"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2%</w:t>
            </w:r>
          </w:p>
        </w:tc>
        <w:tc>
          <w:tcPr>
            <w:tcW w:w="901" w:type="dxa"/>
            <w:noWrap/>
            <w:vAlign w:val="center"/>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0.4</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1954"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lastRenderedPageBreak/>
              <w:t>praca we własnym gospodarstwie</w:t>
            </w:r>
          </w:p>
        </w:tc>
        <w:tc>
          <w:tcPr>
            <w:tcW w:w="1338"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3%</w:t>
            </w:r>
          </w:p>
        </w:tc>
        <w:tc>
          <w:tcPr>
            <w:tcW w:w="901" w:type="dxa"/>
            <w:noWrap/>
            <w:vAlign w:val="center"/>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0.6</w:t>
            </w:r>
          </w:p>
        </w:tc>
        <w:tc>
          <w:tcPr>
            <w:tcW w:w="221"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1536" w:type="dxa"/>
            <w:noWrap/>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2%</w:t>
            </w:r>
          </w:p>
        </w:tc>
        <w:tc>
          <w:tcPr>
            <w:tcW w:w="901"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0.3</w:t>
            </w:r>
          </w:p>
        </w:tc>
        <w:tc>
          <w:tcPr>
            <w:tcW w:w="1536"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4%</w:t>
            </w:r>
          </w:p>
        </w:tc>
        <w:tc>
          <w:tcPr>
            <w:tcW w:w="901" w:type="dxa"/>
            <w:noWrap/>
            <w:vAlign w:val="center"/>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0.8</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4"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umowa nieformalna</w:t>
            </w:r>
          </w:p>
        </w:tc>
        <w:tc>
          <w:tcPr>
            <w:tcW w:w="1338"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4%</w:t>
            </w:r>
          </w:p>
        </w:tc>
        <w:tc>
          <w:tcPr>
            <w:tcW w:w="901" w:type="dxa"/>
            <w:noWrap/>
            <w:vAlign w:val="center"/>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0.5</w:t>
            </w:r>
          </w:p>
        </w:tc>
        <w:tc>
          <w:tcPr>
            <w:tcW w:w="221"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c>
          <w:tcPr>
            <w:tcW w:w="1536" w:type="dxa"/>
            <w:noWrap/>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5%</w:t>
            </w:r>
          </w:p>
        </w:tc>
        <w:tc>
          <w:tcPr>
            <w:tcW w:w="901"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0.7</w:t>
            </w:r>
          </w:p>
        </w:tc>
        <w:tc>
          <w:tcPr>
            <w:tcW w:w="1536" w:type="dxa"/>
            <w:vAlign w:val="center"/>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4%</w:t>
            </w:r>
          </w:p>
        </w:tc>
        <w:tc>
          <w:tcPr>
            <w:tcW w:w="901" w:type="dxa"/>
            <w:noWrap/>
            <w:vAlign w:val="center"/>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0.5</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1954"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Inna forma zatrudnienia</w:t>
            </w:r>
          </w:p>
        </w:tc>
        <w:tc>
          <w:tcPr>
            <w:tcW w:w="1338"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4%</w:t>
            </w:r>
          </w:p>
        </w:tc>
        <w:tc>
          <w:tcPr>
            <w:tcW w:w="901" w:type="dxa"/>
            <w:noWrap/>
            <w:vAlign w:val="center"/>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0.5</w:t>
            </w:r>
          </w:p>
        </w:tc>
        <w:tc>
          <w:tcPr>
            <w:tcW w:w="221"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1536" w:type="dxa"/>
            <w:noWrap/>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4%</w:t>
            </w:r>
          </w:p>
        </w:tc>
        <w:tc>
          <w:tcPr>
            <w:tcW w:w="901"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0.5</w:t>
            </w:r>
          </w:p>
        </w:tc>
        <w:tc>
          <w:tcPr>
            <w:tcW w:w="1536" w:type="dxa"/>
            <w:vAlign w:val="center"/>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3%</w:t>
            </w:r>
          </w:p>
        </w:tc>
        <w:tc>
          <w:tcPr>
            <w:tcW w:w="901" w:type="dxa"/>
            <w:noWrap/>
            <w:vAlign w:val="center"/>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0.5</w:t>
            </w:r>
          </w:p>
        </w:tc>
      </w:tr>
    </w:tbl>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r w:rsidRPr="0018161F">
        <w:t>Stabilność zatrudnienia na podstawie różnych podstaw zatrudnienia można badać w sposób empiryczny. Prawdopodobieństwo przejścia między stanami (np. z nieaktywności do pracy) pozwalają wnioskować o najczęstszych zmianach stanu i stabilności każdego stanu (informacje o stabilności danego stanu). Najwyższe wartości wskaźników przejścia obserwujemy między:</w:t>
      </w:r>
    </w:p>
    <w:p w:rsidR="00D60501" w:rsidRPr="0018161F" w:rsidRDefault="00D60501" w:rsidP="00D60501">
      <w:pPr>
        <w:numPr>
          <w:ilvl w:val="0"/>
          <w:numId w:val="28"/>
        </w:numPr>
        <w:spacing w:after="200" w:line="276" w:lineRule="auto"/>
        <w:contextualSpacing/>
        <w:rPr>
          <w:rFonts w:asciiTheme="majorHAnsi" w:hAnsiTheme="majorHAnsi" w:cstheme="majorHAnsi"/>
          <w:sz w:val="22"/>
        </w:rPr>
      </w:pPr>
      <w:r w:rsidRPr="0018161F">
        <w:rPr>
          <w:rFonts w:asciiTheme="majorHAnsi" w:hAnsiTheme="majorHAnsi" w:cstheme="majorHAnsi"/>
          <w:sz w:val="22"/>
        </w:rPr>
        <w:t>nieaktywnością a umową o pracę (0,06),</w:t>
      </w:r>
    </w:p>
    <w:p w:rsidR="00D60501" w:rsidRPr="0018161F" w:rsidRDefault="00D60501" w:rsidP="00D60501">
      <w:pPr>
        <w:numPr>
          <w:ilvl w:val="0"/>
          <w:numId w:val="28"/>
        </w:numPr>
        <w:spacing w:after="200" w:line="276" w:lineRule="auto"/>
        <w:contextualSpacing/>
        <w:rPr>
          <w:rFonts w:asciiTheme="majorHAnsi" w:hAnsiTheme="majorHAnsi" w:cstheme="majorHAnsi"/>
          <w:sz w:val="22"/>
        </w:rPr>
      </w:pPr>
      <w:r w:rsidRPr="0018161F">
        <w:rPr>
          <w:rFonts w:asciiTheme="majorHAnsi" w:hAnsiTheme="majorHAnsi" w:cstheme="majorHAnsi"/>
          <w:sz w:val="22"/>
        </w:rPr>
        <w:t>inną formą zatrudnienia a nieaktywnością (0.05)</w:t>
      </w:r>
    </w:p>
    <w:p w:rsidR="00D60501" w:rsidRPr="0018161F" w:rsidRDefault="00D60501" w:rsidP="00D60501">
      <w:pPr>
        <w:numPr>
          <w:ilvl w:val="0"/>
          <w:numId w:val="28"/>
        </w:numPr>
        <w:spacing w:after="200" w:line="276" w:lineRule="auto"/>
        <w:contextualSpacing/>
        <w:rPr>
          <w:rFonts w:asciiTheme="majorHAnsi" w:hAnsiTheme="majorHAnsi" w:cstheme="majorHAnsi"/>
          <w:sz w:val="22"/>
        </w:rPr>
      </w:pPr>
      <w:r w:rsidRPr="0018161F">
        <w:rPr>
          <w:rFonts w:asciiTheme="majorHAnsi" w:hAnsiTheme="majorHAnsi" w:cstheme="majorHAnsi"/>
          <w:sz w:val="22"/>
        </w:rPr>
        <w:t>zatrudnieniem na podstawie umowy cywilno-prawnej i nieaktywnością (0,04)</w:t>
      </w:r>
    </w:p>
    <w:p w:rsidR="00D60501" w:rsidRPr="0018161F" w:rsidRDefault="00D60501" w:rsidP="00D60501">
      <w:pPr>
        <w:numPr>
          <w:ilvl w:val="0"/>
          <w:numId w:val="28"/>
        </w:numPr>
        <w:spacing w:after="200" w:line="276" w:lineRule="auto"/>
        <w:contextualSpacing/>
        <w:rPr>
          <w:rFonts w:asciiTheme="majorHAnsi" w:hAnsiTheme="majorHAnsi" w:cstheme="majorHAnsi"/>
          <w:sz w:val="22"/>
        </w:rPr>
      </w:pPr>
      <w:r w:rsidRPr="0018161F">
        <w:rPr>
          <w:rFonts w:asciiTheme="majorHAnsi" w:hAnsiTheme="majorHAnsi" w:cstheme="majorHAnsi"/>
          <w:sz w:val="22"/>
        </w:rPr>
        <w:t>umową nieformalną, a nieaktywnością (0,04).</w:t>
      </w:r>
    </w:p>
    <w:p w:rsidR="00D60501" w:rsidRPr="0018161F" w:rsidRDefault="00D60501" w:rsidP="00D60501">
      <w:r w:rsidRPr="0018161F">
        <w:t>W tabeli 5. Pokazano prawdopodobieństwa przejść między różnymi formami zatrudnienia oszacowane dla typowego miesiąca z 22 miesięcznego okresu obserwacji. Niemal wszyscy (99%) zatrudnieni na podstawie umowy pracę, kontynuują pracę na tej samej podstawie w kolejnym miesiącu. Przejścia z umowy o pracę do innego stanu doświadczyło ok. 9,5% badanych absolwentów zasadniczych szkół zawodowych i podobny odsetek absolwentów techników. Przejście z pracy na umowę o pracę do innych stanów dotyczą przede wszystkim przejścia w nieaktywność zawodową. Wśród osób pracujących na podstawie umowy cywilnoprawnej 93% pozostaje w tej samej formie zatrudnienia w kolejnym miesiącu – pozostali częściej przestają pracować (4% przejść) niż uzyskują umowę o pracę (2% przejść). Bardzo podobnie wygląda sytuacja osób pracujących „na czarno”. Bardziej stabilne są prowadzenie działalności gospodarczej lub praca w gospodarstwie rolnym: w 99% przypadków osoby pracujące na tej podstawie robiły to także w kolejnym miesiącu.</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Tabela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Tabela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17</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Prawdopodobieństwa przejść między formami zatrudnienia w okresie 22 miesięcy po zakończeniu nauki</w:t>
      </w:r>
    </w:p>
    <w:tbl>
      <w:tblPr>
        <w:tblStyle w:val="Tabela-Siatka"/>
        <w:tblW w:w="0" w:type="auto"/>
        <w:tblLook w:val="04A0" w:firstRow="1" w:lastRow="0" w:firstColumn="1" w:lastColumn="0" w:noHBand="0" w:noVBand="1"/>
      </w:tblPr>
      <w:tblGrid>
        <w:gridCol w:w="1531"/>
        <w:gridCol w:w="1075"/>
        <w:gridCol w:w="1076"/>
        <w:gridCol w:w="1076"/>
        <w:gridCol w:w="1076"/>
        <w:gridCol w:w="1076"/>
        <w:gridCol w:w="1076"/>
        <w:gridCol w:w="1076"/>
      </w:tblGrid>
      <w:tr w:rsidR="00D60501" w:rsidRPr="0018161F" w:rsidTr="00C65846">
        <w:trPr>
          <w:trHeight w:val="800"/>
        </w:trPr>
        <w:tc>
          <w:tcPr>
            <w:tcW w:w="1876" w:type="dxa"/>
            <w:shd w:val="clear" w:color="auto" w:fill="BFBFBF" w:themeFill="background1" w:themeFillShade="BF"/>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p>
        </w:tc>
        <w:tc>
          <w:tcPr>
            <w:tcW w:w="1300" w:type="dxa"/>
            <w:shd w:val="clear" w:color="auto" w:fill="BFBFBF" w:themeFill="background1" w:themeFillShade="BF"/>
            <w:noWrap/>
            <w:hideMark/>
          </w:tcPr>
          <w:p w:rsidR="00D60501" w:rsidRPr="0018161F" w:rsidRDefault="00D60501" w:rsidP="00C65846">
            <w:pPr>
              <w:spacing w:after="200"/>
              <w:jc w:val="center"/>
              <w:rPr>
                <w:rFonts w:asciiTheme="majorHAnsi" w:eastAsiaTheme="minorHAnsi" w:hAnsiTheme="majorHAnsi" w:cstheme="majorHAnsi"/>
                <w:b/>
                <w:bCs/>
                <w:i/>
                <w:iCs/>
                <w:color w:val="000000" w:themeColor="text1"/>
                <w:sz w:val="20"/>
                <w:szCs w:val="20"/>
                <w:lang w:eastAsia="en-US"/>
              </w:rPr>
            </w:pPr>
            <w:r w:rsidRPr="0018161F">
              <w:rPr>
                <w:rFonts w:asciiTheme="majorHAnsi" w:eastAsiaTheme="minorHAnsi" w:hAnsiTheme="majorHAnsi" w:cstheme="majorHAnsi"/>
                <w:b/>
                <w:bCs/>
                <w:i/>
                <w:iCs/>
                <w:color w:val="000000" w:themeColor="text1"/>
                <w:sz w:val="20"/>
                <w:szCs w:val="20"/>
                <w:lang w:eastAsia="en-US"/>
              </w:rPr>
              <w:t xml:space="preserve">[-&gt; </w:t>
            </w:r>
            <w:proofErr w:type="spellStart"/>
            <w:r w:rsidRPr="0018161F">
              <w:rPr>
                <w:rFonts w:asciiTheme="majorHAnsi" w:eastAsiaTheme="minorHAnsi" w:hAnsiTheme="majorHAnsi" w:cstheme="majorHAnsi"/>
                <w:b/>
                <w:bCs/>
                <w:i/>
                <w:iCs/>
                <w:color w:val="000000" w:themeColor="text1"/>
                <w:sz w:val="20"/>
                <w:szCs w:val="20"/>
                <w:lang w:eastAsia="en-US"/>
              </w:rPr>
              <w:t>Nieaktywn</w:t>
            </w:r>
            <w:proofErr w:type="spellEnd"/>
            <w:r w:rsidRPr="0018161F">
              <w:rPr>
                <w:rFonts w:asciiTheme="majorHAnsi" w:eastAsiaTheme="minorHAnsi" w:hAnsiTheme="majorHAnsi" w:cstheme="majorHAnsi"/>
                <w:b/>
                <w:bCs/>
                <w:i/>
                <w:iCs/>
                <w:color w:val="000000" w:themeColor="text1"/>
                <w:sz w:val="20"/>
                <w:szCs w:val="20"/>
                <w:lang w:eastAsia="en-US"/>
              </w:rPr>
              <w:t>.]</w:t>
            </w:r>
          </w:p>
        </w:tc>
        <w:tc>
          <w:tcPr>
            <w:tcW w:w="1300" w:type="dxa"/>
            <w:shd w:val="clear" w:color="auto" w:fill="BFBFBF" w:themeFill="background1" w:themeFillShade="BF"/>
            <w:noWrap/>
            <w:hideMark/>
          </w:tcPr>
          <w:p w:rsidR="00D60501" w:rsidRPr="0018161F" w:rsidRDefault="00D60501" w:rsidP="00C65846">
            <w:pPr>
              <w:spacing w:after="200"/>
              <w:jc w:val="center"/>
              <w:rPr>
                <w:rFonts w:asciiTheme="majorHAnsi" w:eastAsiaTheme="minorHAnsi" w:hAnsiTheme="majorHAnsi" w:cstheme="majorHAnsi"/>
                <w:b/>
                <w:bCs/>
                <w:i/>
                <w:iCs/>
                <w:color w:val="000000" w:themeColor="text1"/>
                <w:sz w:val="20"/>
                <w:szCs w:val="20"/>
                <w:lang w:eastAsia="en-US"/>
              </w:rPr>
            </w:pPr>
            <w:r w:rsidRPr="0018161F">
              <w:rPr>
                <w:rFonts w:asciiTheme="majorHAnsi" w:eastAsiaTheme="minorHAnsi" w:hAnsiTheme="majorHAnsi" w:cstheme="majorHAnsi"/>
                <w:b/>
                <w:bCs/>
                <w:i/>
                <w:iCs/>
                <w:color w:val="000000" w:themeColor="text1"/>
                <w:sz w:val="20"/>
                <w:szCs w:val="20"/>
                <w:lang w:eastAsia="en-US"/>
              </w:rPr>
              <w:t>[-&gt;Umowa o pracę]</w:t>
            </w:r>
          </w:p>
        </w:tc>
        <w:tc>
          <w:tcPr>
            <w:tcW w:w="1300" w:type="dxa"/>
            <w:shd w:val="clear" w:color="auto" w:fill="BFBFBF" w:themeFill="background1" w:themeFillShade="BF"/>
            <w:noWrap/>
            <w:hideMark/>
          </w:tcPr>
          <w:p w:rsidR="00D60501" w:rsidRPr="0018161F" w:rsidRDefault="00D60501" w:rsidP="00C65846">
            <w:pPr>
              <w:spacing w:after="200"/>
              <w:jc w:val="center"/>
              <w:rPr>
                <w:rFonts w:asciiTheme="majorHAnsi" w:eastAsiaTheme="minorHAnsi" w:hAnsiTheme="majorHAnsi" w:cstheme="majorHAnsi"/>
                <w:b/>
                <w:bCs/>
                <w:i/>
                <w:iCs/>
                <w:color w:val="000000" w:themeColor="text1"/>
                <w:sz w:val="20"/>
                <w:szCs w:val="20"/>
                <w:lang w:eastAsia="en-US"/>
              </w:rPr>
            </w:pPr>
            <w:r w:rsidRPr="0018161F">
              <w:rPr>
                <w:rFonts w:asciiTheme="majorHAnsi" w:eastAsiaTheme="minorHAnsi" w:hAnsiTheme="majorHAnsi" w:cstheme="majorHAnsi"/>
                <w:b/>
                <w:bCs/>
                <w:i/>
                <w:iCs/>
                <w:color w:val="000000" w:themeColor="text1"/>
                <w:sz w:val="20"/>
                <w:szCs w:val="20"/>
                <w:lang w:eastAsia="en-US"/>
              </w:rPr>
              <w:t>[-&gt;Umowa cywilno-prawna]</w:t>
            </w:r>
          </w:p>
        </w:tc>
        <w:tc>
          <w:tcPr>
            <w:tcW w:w="1300" w:type="dxa"/>
            <w:shd w:val="clear" w:color="auto" w:fill="BFBFBF" w:themeFill="background1" w:themeFillShade="BF"/>
            <w:noWrap/>
            <w:hideMark/>
          </w:tcPr>
          <w:p w:rsidR="00D60501" w:rsidRPr="0018161F" w:rsidRDefault="00D60501" w:rsidP="00C65846">
            <w:pPr>
              <w:spacing w:after="200"/>
              <w:jc w:val="center"/>
              <w:rPr>
                <w:rFonts w:asciiTheme="majorHAnsi" w:eastAsiaTheme="minorHAnsi" w:hAnsiTheme="majorHAnsi" w:cstheme="majorHAnsi"/>
                <w:b/>
                <w:bCs/>
                <w:i/>
                <w:iCs/>
                <w:color w:val="000000" w:themeColor="text1"/>
                <w:sz w:val="20"/>
                <w:szCs w:val="20"/>
                <w:lang w:eastAsia="en-US"/>
              </w:rPr>
            </w:pPr>
            <w:r w:rsidRPr="0018161F">
              <w:rPr>
                <w:rFonts w:asciiTheme="majorHAnsi" w:eastAsiaTheme="minorHAnsi" w:hAnsiTheme="majorHAnsi" w:cstheme="majorHAnsi"/>
                <w:b/>
                <w:bCs/>
                <w:i/>
                <w:iCs/>
                <w:color w:val="000000" w:themeColor="text1"/>
                <w:sz w:val="20"/>
                <w:szCs w:val="20"/>
                <w:lang w:eastAsia="en-US"/>
              </w:rPr>
              <w:t xml:space="preserve">[-&gt;dział. </w:t>
            </w:r>
            <w:proofErr w:type="spellStart"/>
            <w:r w:rsidRPr="0018161F">
              <w:rPr>
                <w:rFonts w:asciiTheme="majorHAnsi" w:eastAsiaTheme="minorHAnsi" w:hAnsiTheme="majorHAnsi" w:cstheme="majorHAnsi"/>
                <w:b/>
                <w:bCs/>
                <w:i/>
                <w:iCs/>
                <w:color w:val="000000" w:themeColor="text1"/>
                <w:sz w:val="20"/>
                <w:szCs w:val="20"/>
                <w:lang w:eastAsia="en-US"/>
              </w:rPr>
              <w:t>gospod</w:t>
            </w:r>
            <w:proofErr w:type="spellEnd"/>
            <w:r w:rsidRPr="0018161F">
              <w:rPr>
                <w:rFonts w:asciiTheme="majorHAnsi" w:eastAsiaTheme="minorHAnsi" w:hAnsiTheme="majorHAnsi" w:cstheme="majorHAnsi"/>
                <w:b/>
                <w:bCs/>
                <w:i/>
                <w:iCs/>
                <w:color w:val="000000" w:themeColor="text1"/>
                <w:sz w:val="20"/>
                <w:szCs w:val="20"/>
                <w:lang w:eastAsia="en-US"/>
              </w:rPr>
              <w:t>.]</w:t>
            </w:r>
          </w:p>
        </w:tc>
        <w:tc>
          <w:tcPr>
            <w:tcW w:w="1300" w:type="dxa"/>
            <w:shd w:val="clear" w:color="auto" w:fill="BFBFBF" w:themeFill="background1" w:themeFillShade="BF"/>
            <w:noWrap/>
            <w:hideMark/>
          </w:tcPr>
          <w:p w:rsidR="00D60501" w:rsidRPr="0018161F" w:rsidRDefault="00D60501" w:rsidP="00C65846">
            <w:pPr>
              <w:spacing w:after="200"/>
              <w:jc w:val="center"/>
              <w:rPr>
                <w:rFonts w:asciiTheme="majorHAnsi" w:eastAsiaTheme="minorHAnsi" w:hAnsiTheme="majorHAnsi" w:cstheme="majorHAnsi"/>
                <w:b/>
                <w:bCs/>
                <w:i/>
                <w:iCs/>
                <w:color w:val="000000" w:themeColor="text1"/>
                <w:sz w:val="20"/>
                <w:szCs w:val="20"/>
                <w:lang w:eastAsia="en-US"/>
              </w:rPr>
            </w:pPr>
            <w:r w:rsidRPr="0018161F">
              <w:rPr>
                <w:rFonts w:asciiTheme="majorHAnsi" w:eastAsiaTheme="minorHAnsi" w:hAnsiTheme="majorHAnsi" w:cstheme="majorHAnsi"/>
                <w:b/>
                <w:bCs/>
                <w:i/>
                <w:iCs/>
                <w:color w:val="000000" w:themeColor="text1"/>
                <w:sz w:val="20"/>
                <w:szCs w:val="20"/>
                <w:lang w:eastAsia="en-US"/>
              </w:rPr>
              <w:t>[-&gt;gosp. rolne]</w:t>
            </w:r>
          </w:p>
        </w:tc>
        <w:tc>
          <w:tcPr>
            <w:tcW w:w="1300" w:type="dxa"/>
            <w:shd w:val="clear" w:color="auto" w:fill="BFBFBF" w:themeFill="background1" w:themeFillShade="BF"/>
            <w:noWrap/>
            <w:hideMark/>
          </w:tcPr>
          <w:p w:rsidR="00D60501" w:rsidRPr="0018161F" w:rsidRDefault="00D60501" w:rsidP="00C65846">
            <w:pPr>
              <w:spacing w:after="200"/>
              <w:jc w:val="center"/>
              <w:rPr>
                <w:rFonts w:asciiTheme="majorHAnsi" w:eastAsiaTheme="minorHAnsi" w:hAnsiTheme="majorHAnsi" w:cstheme="majorHAnsi"/>
                <w:b/>
                <w:bCs/>
                <w:i/>
                <w:iCs/>
                <w:color w:val="000000" w:themeColor="text1"/>
                <w:sz w:val="20"/>
                <w:szCs w:val="20"/>
                <w:lang w:eastAsia="en-US"/>
              </w:rPr>
            </w:pPr>
            <w:r w:rsidRPr="0018161F">
              <w:rPr>
                <w:rFonts w:asciiTheme="majorHAnsi" w:eastAsiaTheme="minorHAnsi" w:hAnsiTheme="majorHAnsi" w:cstheme="majorHAnsi"/>
                <w:b/>
                <w:bCs/>
                <w:i/>
                <w:iCs/>
                <w:color w:val="000000" w:themeColor="text1"/>
                <w:sz w:val="20"/>
                <w:szCs w:val="20"/>
                <w:lang w:eastAsia="en-US"/>
              </w:rPr>
              <w:t>[-&gt;um. nieformalna]</w:t>
            </w:r>
          </w:p>
        </w:tc>
        <w:tc>
          <w:tcPr>
            <w:tcW w:w="1300" w:type="dxa"/>
            <w:shd w:val="clear" w:color="auto" w:fill="BFBFBF" w:themeFill="background1" w:themeFillShade="BF"/>
            <w:noWrap/>
            <w:hideMark/>
          </w:tcPr>
          <w:p w:rsidR="00D60501" w:rsidRPr="0018161F" w:rsidRDefault="00D60501" w:rsidP="00C65846">
            <w:pPr>
              <w:spacing w:after="200"/>
              <w:jc w:val="center"/>
              <w:rPr>
                <w:rFonts w:asciiTheme="majorHAnsi" w:eastAsiaTheme="minorHAnsi" w:hAnsiTheme="majorHAnsi" w:cstheme="majorHAnsi"/>
                <w:b/>
                <w:bCs/>
                <w:i/>
                <w:iCs/>
                <w:color w:val="000000" w:themeColor="text1"/>
                <w:sz w:val="20"/>
                <w:szCs w:val="20"/>
                <w:lang w:eastAsia="en-US"/>
              </w:rPr>
            </w:pPr>
            <w:r w:rsidRPr="0018161F">
              <w:rPr>
                <w:rFonts w:asciiTheme="majorHAnsi" w:eastAsiaTheme="minorHAnsi" w:hAnsiTheme="majorHAnsi" w:cstheme="majorHAnsi"/>
                <w:b/>
                <w:bCs/>
                <w:i/>
                <w:iCs/>
                <w:color w:val="000000" w:themeColor="text1"/>
                <w:sz w:val="20"/>
                <w:szCs w:val="20"/>
                <w:lang w:eastAsia="en-US"/>
              </w:rPr>
              <w:t>[-&gt;inna forma]</w:t>
            </w:r>
          </w:p>
        </w:tc>
      </w:tr>
      <w:tr w:rsidR="00D60501" w:rsidRPr="0018161F" w:rsidTr="00C65846">
        <w:trPr>
          <w:trHeight w:val="540"/>
        </w:trPr>
        <w:tc>
          <w:tcPr>
            <w:tcW w:w="1876"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[Nieaktywność -&gt;]</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0.92</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0.06</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0.01</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r>
      <w:tr w:rsidR="00D60501" w:rsidRPr="0018161F" w:rsidTr="00C65846">
        <w:trPr>
          <w:trHeight w:val="540"/>
        </w:trPr>
        <w:tc>
          <w:tcPr>
            <w:tcW w:w="1876"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lastRenderedPageBreak/>
              <w:t>[Umowa o pracę -&gt;]</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0.01</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0.99</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r>
      <w:tr w:rsidR="00D60501" w:rsidRPr="0018161F" w:rsidTr="00C65846">
        <w:trPr>
          <w:trHeight w:val="540"/>
        </w:trPr>
        <w:tc>
          <w:tcPr>
            <w:tcW w:w="1876"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[Umowa cyw.-prawna -&gt;]</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0.04</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0.02</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0.93</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r>
      <w:tr w:rsidR="00D60501" w:rsidRPr="0018161F" w:rsidTr="00C65846">
        <w:trPr>
          <w:trHeight w:val="540"/>
        </w:trPr>
        <w:tc>
          <w:tcPr>
            <w:tcW w:w="1876"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 xml:space="preserve">[dział. </w:t>
            </w:r>
            <w:proofErr w:type="spellStart"/>
            <w:r w:rsidRPr="0018161F">
              <w:rPr>
                <w:rFonts w:asciiTheme="majorHAnsi" w:eastAsiaTheme="minorHAnsi" w:hAnsiTheme="majorHAnsi" w:cstheme="majorHAnsi"/>
                <w:i/>
                <w:iCs/>
                <w:color w:val="000000" w:themeColor="text1"/>
                <w:sz w:val="20"/>
                <w:szCs w:val="20"/>
                <w:lang w:eastAsia="en-US"/>
              </w:rPr>
              <w:t>gospod</w:t>
            </w:r>
            <w:proofErr w:type="spellEnd"/>
            <w:r w:rsidRPr="0018161F">
              <w:rPr>
                <w:rFonts w:asciiTheme="majorHAnsi" w:eastAsiaTheme="minorHAnsi" w:hAnsiTheme="majorHAnsi" w:cstheme="majorHAnsi"/>
                <w:i/>
                <w:iCs/>
                <w:color w:val="000000" w:themeColor="text1"/>
                <w:sz w:val="20"/>
                <w:szCs w:val="20"/>
                <w:lang w:eastAsia="en-US"/>
              </w:rPr>
              <w:t>. -&gt;]</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0.01</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0.99</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r>
      <w:tr w:rsidR="00D60501" w:rsidRPr="0018161F" w:rsidTr="00C65846">
        <w:trPr>
          <w:trHeight w:val="340"/>
        </w:trPr>
        <w:tc>
          <w:tcPr>
            <w:tcW w:w="1876"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[gosp. rolne -&gt;]</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0.01</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0.99</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r>
      <w:tr w:rsidR="00D60501" w:rsidRPr="0018161F" w:rsidTr="00C65846">
        <w:trPr>
          <w:trHeight w:val="540"/>
        </w:trPr>
        <w:tc>
          <w:tcPr>
            <w:tcW w:w="1876"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[um. nieformalna -&gt;]</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0.04</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0.02</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0.01</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0.94</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r>
      <w:tr w:rsidR="00D60501" w:rsidRPr="0018161F" w:rsidTr="00C65846">
        <w:trPr>
          <w:trHeight w:val="320"/>
        </w:trPr>
        <w:tc>
          <w:tcPr>
            <w:tcW w:w="1876"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[inna forma -&gt;]</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0.05</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0.02</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w:t>
            </w:r>
          </w:p>
        </w:tc>
        <w:tc>
          <w:tcPr>
            <w:tcW w:w="1300" w:type="dxa"/>
            <w:noWrap/>
            <w:hideMark/>
          </w:tcPr>
          <w:p w:rsidR="00D60501" w:rsidRPr="0018161F" w:rsidRDefault="00D60501" w:rsidP="00C65846">
            <w:pPr>
              <w:spacing w:after="200"/>
              <w:jc w:val="center"/>
              <w:rPr>
                <w:rFonts w:asciiTheme="majorHAnsi" w:eastAsiaTheme="minorHAnsi" w:hAnsiTheme="majorHAnsi" w:cstheme="majorHAnsi"/>
                <w:i/>
                <w:iCs/>
                <w:color w:val="000000" w:themeColor="text1"/>
                <w:sz w:val="20"/>
                <w:szCs w:val="20"/>
                <w:lang w:eastAsia="en-US"/>
              </w:rPr>
            </w:pPr>
            <w:r w:rsidRPr="0018161F">
              <w:rPr>
                <w:rFonts w:asciiTheme="majorHAnsi" w:eastAsiaTheme="minorHAnsi" w:hAnsiTheme="majorHAnsi" w:cstheme="majorHAnsi"/>
                <w:i/>
                <w:iCs/>
                <w:color w:val="000000" w:themeColor="text1"/>
                <w:sz w:val="20"/>
                <w:szCs w:val="20"/>
                <w:lang w:eastAsia="en-US"/>
              </w:rPr>
              <w:t>0.93</w:t>
            </w:r>
          </w:p>
        </w:tc>
      </w:tr>
    </w:tbl>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p w:rsidR="00D60501" w:rsidRPr="0018161F" w:rsidRDefault="00D60501" w:rsidP="00D60501">
      <w:pPr>
        <w:keepNext/>
        <w:keepLines/>
        <w:spacing w:before="40"/>
        <w:outlineLvl w:val="2"/>
        <w:rPr>
          <w:rFonts w:eastAsiaTheme="majorEastAsia" w:cstheme="majorBidi"/>
          <w:b/>
          <w:i/>
          <w:color w:val="000000" w:themeColor="text1"/>
        </w:rPr>
      </w:pPr>
      <w:bookmarkStart w:id="3" w:name="_Toc529951296"/>
      <w:r w:rsidRPr="0018161F">
        <w:rPr>
          <w:rFonts w:eastAsiaTheme="majorEastAsia" w:cstheme="majorBidi"/>
          <w:b/>
          <w:i/>
          <w:color w:val="000000" w:themeColor="text1"/>
        </w:rPr>
        <w:t>Epizody poszukiwania pracy i bezrobocia</w:t>
      </w:r>
      <w:bookmarkEnd w:id="3"/>
      <w:r w:rsidRPr="0018161F">
        <w:rPr>
          <w:rFonts w:eastAsiaTheme="majorEastAsia" w:cstheme="majorBidi"/>
          <w:b/>
          <w:i/>
          <w:color w:val="000000" w:themeColor="text1"/>
        </w:rPr>
        <w:t xml:space="preserve"> </w:t>
      </w:r>
    </w:p>
    <w:p w:rsidR="00D60501" w:rsidRPr="0018161F" w:rsidRDefault="00D60501" w:rsidP="00D60501">
      <w:r w:rsidRPr="0018161F">
        <w:t>W pierwszych miesiącach po zakończeniu nauki poszukiwanie pracy deklarowało ok. 16% absolwentów. W kolejnych miesiącach odsetek ten zmniejszał się. Rok po zakończeniu nauki poszukiwanie pracy deklarowało zaledwie 8% absolwentów, a w 22 miesiącu, ok. 5% absolwentów. Prawie 1/3 z poszukujących pracy jednocześnie uczyło się lub pracowało.</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11</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Poszukiwanie pracy w trakcie 22 miesięcy</w:t>
      </w:r>
    </w:p>
    <w:p w:rsidR="00D60501" w:rsidRPr="0018161F" w:rsidRDefault="00D60501" w:rsidP="00D60501">
      <w:r w:rsidRPr="0018161F">
        <w:rPr>
          <w:noProof/>
        </w:rPr>
        <w:drawing>
          <wp:inline distT="0" distB="0" distL="0" distR="0" wp14:anchorId="04244B6D" wp14:editId="7F6E4659">
            <wp:extent cx="5760720" cy="2729642"/>
            <wp:effectExtent l="0" t="0" r="11430" b="13970"/>
            <wp:docPr id="70" name="Wykres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r w:rsidRPr="0018161F">
        <w:lastRenderedPageBreak/>
        <w:t xml:space="preserve">Około 25% absolwentów zasadniczych szkół zawodowych i 19% absolwentów techników, na przestrzeni analizowanego okresu, przynajmniej raz zarejestrowało się w urzędzie pracy jako bezrobotny </w:t>
      </w:r>
      <w:r>
        <w:t>–</w:t>
      </w:r>
      <w:r w:rsidRPr="0018161F">
        <w:t xml:space="preserve"> wśród osób nieaktywnych był to co drugi absolwent. Odsetek ten był też relatywnie wysoki wśród absolwentów zasadniczych szkół zawodowych, którzy kontynuują naukę. Pod tym względem widoczne są duże różnice między zasadniczymi szkołami zawodowymi a technikami. Absolwenci techników kontynuujący naukę doświadczali bezrobocia najrzadziej. Większość osób,  które  rejestrowały się jako osoby bezrobotne robiła to tuż po zakończeniu nauki. Najczęściej wskazywanymi motywacjami do wizyty w urzędzie pracy była potrzeba uzyskania ubezpieczenia zdrowotnego i możliwość skorzystania z pośrednictwa pracy.</w:t>
      </w:r>
    </w:p>
    <w:p w:rsidR="00D60501" w:rsidRPr="0018161F" w:rsidRDefault="00D60501" w:rsidP="00D60501">
      <w:pPr>
        <w:spacing w:after="200"/>
        <w:rPr>
          <w:rFonts w:eastAsiaTheme="minorHAnsi" w:cstheme="minorBidi"/>
          <w:i/>
          <w:iCs/>
          <w:noProof/>
          <w:color w:val="44546A" w:themeColor="text2"/>
          <w:sz w:val="20"/>
          <w:szCs w:val="18"/>
          <w:lang w:eastAsia="en-US"/>
        </w:rPr>
      </w:pPr>
      <w:r w:rsidRPr="0018161F">
        <w:rPr>
          <w:rFonts w:eastAsiaTheme="minorHAnsi" w:cstheme="minorBidi"/>
          <w:i/>
          <w:iCs/>
          <w:color w:val="44546A" w:themeColor="text2"/>
          <w:sz w:val="20"/>
          <w:szCs w:val="18"/>
          <w:lang w:eastAsia="en-US"/>
        </w:rPr>
        <w:t xml:space="preserve">Tabela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Tabela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18</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noProof/>
          <w:color w:val="44546A" w:themeColor="text2"/>
          <w:sz w:val="20"/>
          <w:szCs w:val="18"/>
          <w:lang w:eastAsia="en-US"/>
        </w:rPr>
        <w:t xml:space="preserve">. Odsetek badanych mających doświadczenia bezrobocia w ramach poszczególnych grup respondentów i rodzaju ukończonej szkoły </w:t>
      </w:r>
    </w:p>
    <w:tbl>
      <w:tblPr>
        <w:tblStyle w:val="Jasnecieniowanie"/>
        <w:tblW w:w="3916" w:type="dxa"/>
        <w:tblLook w:val="04A0" w:firstRow="1" w:lastRow="0" w:firstColumn="1" w:lastColumn="0" w:noHBand="0" w:noVBand="1"/>
      </w:tblPr>
      <w:tblGrid>
        <w:gridCol w:w="1337"/>
        <w:gridCol w:w="1294"/>
        <w:gridCol w:w="1285"/>
      </w:tblGrid>
      <w:tr w:rsidR="00D60501" w:rsidRPr="0018161F" w:rsidTr="00C658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00D60501" w:rsidRPr="0018161F" w:rsidRDefault="00D60501" w:rsidP="00C65846">
            <w:pPr>
              <w:jc w:val="left"/>
              <w:rPr>
                <w:rFonts w:asciiTheme="majorHAnsi" w:hAnsiTheme="majorHAnsi" w:cstheme="majorHAnsi"/>
                <w:color w:val="000000"/>
                <w:sz w:val="20"/>
                <w:szCs w:val="20"/>
              </w:rPr>
            </w:pPr>
          </w:p>
        </w:tc>
        <w:tc>
          <w:tcPr>
            <w:tcW w:w="0" w:type="dxa"/>
            <w:noWrap/>
            <w:hideMark/>
          </w:tcPr>
          <w:p w:rsidR="00D60501" w:rsidRPr="0018161F" w:rsidRDefault="00D60501" w:rsidP="00C65846">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zasadnicza szkoła zawodowa</w:t>
            </w:r>
          </w:p>
        </w:tc>
        <w:tc>
          <w:tcPr>
            <w:tcW w:w="0" w:type="dxa"/>
            <w:noWrap/>
            <w:hideMark/>
          </w:tcPr>
          <w:p w:rsidR="00D60501" w:rsidRPr="0018161F" w:rsidRDefault="00D60501" w:rsidP="00C65846">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technikum</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00D60501" w:rsidRPr="0018161F" w:rsidRDefault="00D60501" w:rsidP="00C65846">
            <w:pPr>
              <w:jc w:val="left"/>
              <w:rPr>
                <w:rFonts w:asciiTheme="majorHAnsi" w:hAnsiTheme="majorHAnsi" w:cstheme="majorHAnsi"/>
                <w:color w:val="000000"/>
                <w:sz w:val="20"/>
                <w:szCs w:val="20"/>
              </w:rPr>
            </w:pPr>
            <w:r w:rsidRPr="0018161F">
              <w:rPr>
                <w:rFonts w:asciiTheme="majorHAnsi" w:hAnsiTheme="majorHAnsi" w:cstheme="majorHAnsi"/>
                <w:color w:val="000000"/>
                <w:sz w:val="20"/>
                <w:szCs w:val="20"/>
              </w:rPr>
              <w:t>Pracujący</w:t>
            </w:r>
          </w:p>
        </w:tc>
        <w:tc>
          <w:tcPr>
            <w:tcW w:w="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14.1</w:t>
            </w:r>
          </w:p>
        </w:tc>
        <w:tc>
          <w:tcPr>
            <w:tcW w:w="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18.7</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00D60501" w:rsidRPr="0018161F" w:rsidRDefault="00D60501" w:rsidP="00C65846">
            <w:pPr>
              <w:jc w:val="left"/>
              <w:rPr>
                <w:rFonts w:asciiTheme="majorHAnsi" w:hAnsiTheme="majorHAnsi" w:cstheme="majorHAnsi"/>
                <w:color w:val="000000"/>
                <w:sz w:val="20"/>
                <w:szCs w:val="20"/>
              </w:rPr>
            </w:pPr>
            <w:r w:rsidRPr="0018161F">
              <w:rPr>
                <w:rFonts w:asciiTheme="majorHAnsi" w:hAnsiTheme="majorHAnsi" w:cstheme="majorHAnsi"/>
                <w:color w:val="000000"/>
                <w:sz w:val="20"/>
                <w:szCs w:val="20"/>
              </w:rPr>
              <w:t>łączący pracę z nauką</w:t>
            </w:r>
          </w:p>
        </w:tc>
        <w:tc>
          <w:tcPr>
            <w:tcW w:w="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22.0</w:t>
            </w:r>
          </w:p>
        </w:tc>
        <w:tc>
          <w:tcPr>
            <w:tcW w:w="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12.6</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00D60501" w:rsidRPr="0018161F" w:rsidRDefault="00D60501" w:rsidP="00C65846">
            <w:pPr>
              <w:jc w:val="left"/>
              <w:rPr>
                <w:rFonts w:asciiTheme="majorHAnsi" w:hAnsiTheme="majorHAnsi" w:cstheme="majorHAnsi"/>
                <w:color w:val="000000"/>
                <w:sz w:val="20"/>
                <w:szCs w:val="20"/>
              </w:rPr>
            </w:pPr>
            <w:r w:rsidRPr="0018161F">
              <w:rPr>
                <w:rFonts w:asciiTheme="majorHAnsi" w:hAnsiTheme="majorHAnsi" w:cstheme="majorHAnsi"/>
                <w:color w:val="000000"/>
                <w:sz w:val="20"/>
                <w:szCs w:val="20"/>
              </w:rPr>
              <w:t>Uczący się</w:t>
            </w:r>
          </w:p>
        </w:tc>
        <w:tc>
          <w:tcPr>
            <w:tcW w:w="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35.2</w:t>
            </w:r>
          </w:p>
        </w:tc>
        <w:tc>
          <w:tcPr>
            <w:tcW w:w="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4.6</w:t>
            </w:r>
          </w:p>
        </w:tc>
      </w:tr>
      <w:tr w:rsidR="00D60501" w:rsidRPr="0018161F" w:rsidTr="00C65846">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00D60501" w:rsidRPr="0018161F" w:rsidRDefault="00D60501" w:rsidP="00C65846">
            <w:pPr>
              <w:jc w:val="left"/>
              <w:rPr>
                <w:rFonts w:asciiTheme="majorHAnsi" w:hAnsiTheme="majorHAnsi" w:cstheme="majorHAnsi"/>
                <w:color w:val="000000"/>
                <w:sz w:val="20"/>
                <w:szCs w:val="20"/>
              </w:rPr>
            </w:pPr>
            <w:r w:rsidRPr="0018161F">
              <w:rPr>
                <w:rFonts w:asciiTheme="majorHAnsi" w:hAnsiTheme="majorHAnsi" w:cstheme="majorHAnsi"/>
                <w:color w:val="000000"/>
                <w:sz w:val="20"/>
                <w:szCs w:val="20"/>
              </w:rPr>
              <w:t>Nieaktywni</w:t>
            </w:r>
          </w:p>
        </w:tc>
        <w:tc>
          <w:tcPr>
            <w:tcW w:w="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51.8</w:t>
            </w:r>
          </w:p>
        </w:tc>
        <w:tc>
          <w:tcPr>
            <w:tcW w:w="0" w:type="dxa"/>
            <w:noWrap/>
            <w:hideMark/>
          </w:tcPr>
          <w:p w:rsidR="00D60501" w:rsidRPr="0018161F" w:rsidRDefault="00D60501" w:rsidP="00C6584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18161F">
              <w:rPr>
                <w:rFonts w:asciiTheme="majorHAnsi" w:hAnsiTheme="majorHAnsi" w:cstheme="majorHAnsi"/>
                <w:color w:val="000000"/>
                <w:sz w:val="20"/>
                <w:szCs w:val="20"/>
              </w:rPr>
              <w:t>48.6</w:t>
            </w:r>
          </w:p>
        </w:tc>
      </w:tr>
      <w:tr w:rsidR="00D60501" w:rsidRPr="0018161F" w:rsidTr="00C65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rsidR="00D60501" w:rsidRPr="0018161F" w:rsidRDefault="00D60501" w:rsidP="00C65846">
            <w:pPr>
              <w:jc w:val="left"/>
              <w:rPr>
                <w:rFonts w:ascii="Calibri" w:hAnsi="Calibri" w:cs="Calibri"/>
                <w:color w:val="000000"/>
              </w:rPr>
            </w:pPr>
            <w:r w:rsidRPr="0018161F">
              <w:rPr>
                <w:rFonts w:ascii="Calibri" w:hAnsi="Calibri" w:cs="Calibri"/>
                <w:color w:val="000000"/>
              </w:rPr>
              <w:t>Ogółem</w:t>
            </w:r>
          </w:p>
        </w:tc>
        <w:tc>
          <w:tcPr>
            <w:tcW w:w="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24.9</w:t>
            </w:r>
          </w:p>
        </w:tc>
        <w:tc>
          <w:tcPr>
            <w:tcW w:w="0" w:type="dxa"/>
            <w:noWrap/>
            <w:hideMark/>
          </w:tcPr>
          <w:p w:rsidR="00D60501" w:rsidRPr="0018161F" w:rsidRDefault="00D60501" w:rsidP="00C658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161F">
              <w:rPr>
                <w:rFonts w:ascii="Calibri" w:hAnsi="Calibri" w:cs="Calibri"/>
                <w:color w:val="000000"/>
              </w:rPr>
              <w:t>19.0</w:t>
            </w:r>
          </w:p>
        </w:tc>
      </w:tr>
    </w:tbl>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r w:rsidRPr="0018161F">
        <w:t xml:space="preserve">Wśród absolwentów zasadniczych szkół zawodowych nie ma różnic między obszarami kształcenia. Z uwzględnionych </w:t>
      </w:r>
      <w:proofErr w:type="spellStart"/>
      <w:r w:rsidRPr="0018161F">
        <w:t>predyktorów</w:t>
      </w:r>
      <w:proofErr w:type="spellEnd"/>
      <w:r w:rsidRPr="0018161F">
        <w:t xml:space="preserve"> jedynie stopa bezrobocia osób młodych oraz posiadanie pracy przed ukończeniem nauki zmniejsza prawdopodobieństwo doświadczenia bezrobocia, a wykorzystany model jedynie w niewielkim stopniu wyjaśnia zróżnicowanie absolwentów pod tym względem (pseudo R</w:t>
      </w:r>
      <w:r w:rsidRPr="0018161F">
        <w:rPr>
          <w:vertAlign w:val="superscript"/>
        </w:rPr>
        <w:t>2</w:t>
      </w:r>
      <w:r w:rsidRPr="0018161F">
        <w:t>=0,04). Podobny obraz wpływu poszczególnych zmiennych daje analiza danych dotyczących absolwentów techników (pseudo R</w:t>
      </w:r>
      <w:r w:rsidRPr="0018161F">
        <w:rPr>
          <w:vertAlign w:val="superscript"/>
        </w:rPr>
        <w:t>2</w:t>
      </w:r>
      <w:r w:rsidRPr="0018161F">
        <w:t xml:space="preserve">=0,06). W urzędach pracy częściej rejestrują się kobiety. Wśród absolwentów techników, prawdopodobieństwo doświadczenia bezrobocia rejestrowanego jest mniejsze wśród osób, które znalazły pracę przed zakończeniem nauki lub uzyskały dyplom potwierdzający kwalifikacje. Siła i kierunek efektów tych zmiennych są podobne do tych zaobserwowanych </w:t>
      </w:r>
      <w:r w:rsidR="00B21D74">
        <w:br/>
      </w:r>
      <w:r w:rsidRPr="0018161F">
        <w:t xml:space="preserve">w zasadniczych szkołach zawodowych. W przypadku absolwentów techników widoczny jest niewielki wpływ obszaru kształcenia na prawdopodobieństwo doświadczenia bezrobocia. </w:t>
      </w:r>
      <w:r w:rsidRPr="0018161F">
        <w:lastRenderedPageBreak/>
        <w:t xml:space="preserve">Zapewne efekty te byłyby bardziej wyraźne, gdyby badana była większa liczba absolwentów, a zamiast obszarów kształcenia wykorzystano by mniej zróżnicowane, pod względem specyfiki wchodzących weń zawodów, kategorie (np. branże zawodowe).  </w:t>
      </w:r>
    </w:p>
    <w:p w:rsidR="00D60501" w:rsidRPr="0018161F" w:rsidRDefault="00D60501" w:rsidP="00D60501"/>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Tabela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Tabela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19</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w:t>
      </w:r>
      <w:proofErr w:type="spellStart"/>
      <w:r w:rsidRPr="0018161F">
        <w:rPr>
          <w:rFonts w:eastAsiaTheme="minorHAnsi" w:cstheme="minorBidi"/>
          <w:i/>
          <w:iCs/>
          <w:color w:val="44546A" w:themeColor="text2"/>
          <w:sz w:val="20"/>
          <w:szCs w:val="18"/>
          <w:lang w:eastAsia="en-US"/>
        </w:rPr>
        <w:t>Predyktory</w:t>
      </w:r>
      <w:proofErr w:type="spellEnd"/>
      <w:r w:rsidRPr="0018161F">
        <w:rPr>
          <w:rFonts w:eastAsiaTheme="minorHAnsi" w:cstheme="minorBidi"/>
          <w:i/>
          <w:iCs/>
          <w:color w:val="44546A" w:themeColor="text2"/>
          <w:sz w:val="20"/>
          <w:szCs w:val="18"/>
          <w:lang w:eastAsia="en-US"/>
        </w:rPr>
        <w:t xml:space="preserve"> doświadczenia przynajmniej jednego miesiąca bezrobocia rejestrowanego wśród absolwentów zasadniczych szkół zawodowych i techników (wyniki regresji logistycznych przeprowadzonych osobno dla zasadniczych szkół zawodowych i techników – średnie efekty krańcowe)</w:t>
      </w:r>
      <w:r w:rsidRPr="0018161F" w:rsidDel="00451BC2">
        <w:rPr>
          <w:rFonts w:eastAsiaTheme="minorHAnsi" w:cstheme="minorBidi"/>
          <w:i/>
          <w:iCs/>
          <w:color w:val="44546A" w:themeColor="text2"/>
          <w:sz w:val="20"/>
          <w:szCs w:val="18"/>
          <w:lang w:eastAsia="en-US"/>
        </w:rPr>
        <w:t xml:space="preserve"> </w:t>
      </w:r>
    </w:p>
    <w:tbl>
      <w:tblPr>
        <w:tblStyle w:val="Tabela-Siatka"/>
        <w:tblW w:w="0" w:type="auto"/>
        <w:tblLook w:val="04A0" w:firstRow="1" w:lastRow="0" w:firstColumn="1" w:lastColumn="0" w:noHBand="0" w:noVBand="1"/>
      </w:tblPr>
      <w:tblGrid>
        <w:gridCol w:w="2275"/>
        <w:gridCol w:w="2258"/>
        <w:gridCol w:w="2264"/>
        <w:gridCol w:w="2265"/>
      </w:tblGrid>
      <w:tr w:rsidR="00D60501" w:rsidRPr="0018161F" w:rsidTr="00C65846">
        <w:tc>
          <w:tcPr>
            <w:tcW w:w="2303" w:type="dxa"/>
          </w:tcPr>
          <w:p w:rsidR="00D60501" w:rsidRPr="0018161F" w:rsidRDefault="00D60501" w:rsidP="00C65846">
            <w:pPr>
              <w:rPr>
                <w:lang w:eastAsia="en-US"/>
              </w:rPr>
            </w:pPr>
          </w:p>
        </w:tc>
        <w:tc>
          <w:tcPr>
            <w:tcW w:w="2303" w:type="dxa"/>
          </w:tcPr>
          <w:p w:rsidR="00D60501" w:rsidRPr="0018161F" w:rsidRDefault="00D60501" w:rsidP="00C65846">
            <w:pPr>
              <w:rPr>
                <w:lang w:eastAsia="en-US"/>
              </w:rPr>
            </w:pPr>
          </w:p>
        </w:tc>
        <w:tc>
          <w:tcPr>
            <w:tcW w:w="2303" w:type="dxa"/>
            <w:vAlign w:val="center"/>
          </w:tcPr>
          <w:p w:rsidR="00D60501" w:rsidRPr="0018161F" w:rsidRDefault="00D60501" w:rsidP="00C65846">
            <w:pPr>
              <w:jc w:val="center"/>
              <w:rPr>
                <w:lang w:eastAsia="en-US"/>
              </w:rPr>
            </w:pPr>
            <w:r w:rsidRPr="0018161F">
              <w:rPr>
                <w:rFonts w:asciiTheme="majorHAnsi" w:hAnsiTheme="majorHAnsi" w:cstheme="majorHAnsi"/>
                <w:b/>
                <w:color w:val="000000"/>
                <w:sz w:val="20"/>
                <w:szCs w:val="20"/>
              </w:rPr>
              <w:t>Zasadnicza szkoła zawodowa</w:t>
            </w:r>
          </w:p>
        </w:tc>
        <w:tc>
          <w:tcPr>
            <w:tcW w:w="2303" w:type="dxa"/>
            <w:vAlign w:val="center"/>
          </w:tcPr>
          <w:p w:rsidR="00D60501" w:rsidRPr="0018161F" w:rsidRDefault="00D60501" w:rsidP="00C65846">
            <w:pPr>
              <w:jc w:val="center"/>
              <w:rPr>
                <w:lang w:eastAsia="en-US"/>
              </w:rPr>
            </w:pPr>
            <w:r w:rsidRPr="0018161F">
              <w:rPr>
                <w:rFonts w:asciiTheme="majorHAnsi" w:hAnsiTheme="majorHAnsi" w:cstheme="majorHAnsi"/>
                <w:b/>
                <w:color w:val="000000"/>
                <w:sz w:val="20"/>
                <w:szCs w:val="20"/>
              </w:rPr>
              <w:t>Technikum</w:t>
            </w:r>
          </w:p>
        </w:tc>
      </w:tr>
      <w:tr w:rsidR="00D60501" w:rsidRPr="0018161F" w:rsidTr="00C65846">
        <w:tc>
          <w:tcPr>
            <w:tcW w:w="2303" w:type="dxa"/>
          </w:tcPr>
          <w:p w:rsidR="00D60501" w:rsidRPr="0018161F" w:rsidRDefault="00D60501" w:rsidP="00C65846">
            <w:pPr>
              <w:rPr>
                <w:lang w:eastAsia="en-US"/>
              </w:rPr>
            </w:pPr>
            <w:r w:rsidRPr="0018161F">
              <w:rPr>
                <w:rFonts w:asciiTheme="majorHAnsi" w:hAnsiTheme="majorHAnsi" w:cstheme="majorHAnsi"/>
                <w:b/>
                <w:color w:val="000000"/>
                <w:sz w:val="20"/>
                <w:szCs w:val="20"/>
              </w:rPr>
              <w:t>Płeć</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Kobieta (=1)</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0.054</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0.075**</w:t>
            </w:r>
          </w:p>
        </w:tc>
      </w:tr>
      <w:tr w:rsidR="00D60501" w:rsidRPr="0018161F" w:rsidTr="00C65846">
        <w:tc>
          <w:tcPr>
            <w:tcW w:w="2303" w:type="dxa"/>
          </w:tcPr>
          <w:p w:rsidR="00D60501" w:rsidRPr="0018161F" w:rsidRDefault="00D60501" w:rsidP="00C65846">
            <w:pPr>
              <w:rPr>
                <w:lang w:eastAsia="en-US"/>
              </w:rPr>
            </w:pPr>
            <w:r w:rsidRPr="0018161F">
              <w:rPr>
                <w:rFonts w:asciiTheme="majorHAnsi" w:hAnsiTheme="majorHAnsi" w:cstheme="majorHAnsi"/>
                <w:b/>
                <w:color w:val="000000"/>
                <w:sz w:val="20"/>
                <w:szCs w:val="20"/>
              </w:rPr>
              <w:t>Obszar Kształcenia</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BU vs AU</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-0.037</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0.135</w:t>
            </w:r>
          </w:p>
        </w:tc>
      </w:tr>
      <w:tr w:rsidR="00D60501" w:rsidRPr="0018161F" w:rsidTr="00C65846">
        <w:tc>
          <w:tcPr>
            <w:tcW w:w="2303" w:type="dxa"/>
          </w:tcPr>
          <w:p w:rsidR="00D60501" w:rsidRPr="0018161F" w:rsidRDefault="00D60501" w:rsidP="00C65846">
            <w:pPr>
              <w:rPr>
                <w:lang w:eastAsia="en-US"/>
              </w:rPr>
            </w:pP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EE,MG vs AU</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-0.021</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-0.008</w:t>
            </w:r>
          </w:p>
        </w:tc>
      </w:tr>
      <w:tr w:rsidR="00D60501" w:rsidRPr="0018161F" w:rsidTr="00C65846">
        <w:tc>
          <w:tcPr>
            <w:tcW w:w="2303" w:type="dxa"/>
          </w:tcPr>
          <w:p w:rsidR="00D60501" w:rsidRPr="0018161F" w:rsidRDefault="00D60501" w:rsidP="00C65846">
            <w:pPr>
              <w:rPr>
                <w:lang w:eastAsia="en-US"/>
              </w:rPr>
            </w:pP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TG,R,M vs AU</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-0.007</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-0.005</w:t>
            </w:r>
          </w:p>
        </w:tc>
      </w:tr>
      <w:tr w:rsidR="00D60501" w:rsidRPr="0018161F" w:rsidTr="00C65846">
        <w:tc>
          <w:tcPr>
            <w:tcW w:w="2303" w:type="dxa"/>
          </w:tcPr>
          <w:p w:rsidR="00D60501" w:rsidRPr="0018161F" w:rsidRDefault="00D60501" w:rsidP="00C65846">
            <w:pPr>
              <w:rPr>
                <w:lang w:eastAsia="en-US"/>
              </w:rPr>
            </w:pP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EE,MG vs BU</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0.016</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-0.143*</w:t>
            </w:r>
          </w:p>
        </w:tc>
      </w:tr>
      <w:tr w:rsidR="00D60501" w:rsidRPr="0018161F" w:rsidTr="00C65846">
        <w:tc>
          <w:tcPr>
            <w:tcW w:w="2303" w:type="dxa"/>
          </w:tcPr>
          <w:p w:rsidR="00D60501" w:rsidRPr="0018161F" w:rsidRDefault="00D60501" w:rsidP="00C65846">
            <w:pPr>
              <w:rPr>
                <w:lang w:eastAsia="en-US"/>
              </w:rPr>
            </w:pP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TG,R,M vs BU</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0.029</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-0.14*</w:t>
            </w:r>
          </w:p>
        </w:tc>
      </w:tr>
      <w:tr w:rsidR="00D60501" w:rsidRPr="0018161F" w:rsidTr="00C65846">
        <w:tc>
          <w:tcPr>
            <w:tcW w:w="2303" w:type="dxa"/>
          </w:tcPr>
          <w:p w:rsidR="00D60501" w:rsidRPr="0018161F" w:rsidRDefault="00D60501" w:rsidP="00C65846">
            <w:pPr>
              <w:rPr>
                <w:lang w:eastAsia="en-US"/>
              </w:rPr>
            </w:pPr>
          </w:p>
        </w:tc>
        <w:tc>
          <w:tcPr>
            <w:tcW w:w="2303" w:type="dxa"/>
          </w:tcPr>
          <w:p w:rsidR="00D60501" w:rsidRPr="0018161F" w:rsidRDefault="00D60501" w:rsidP="00C65846">
            <w:pPr>
              <w:jc w:val="right"/>
              <w:rPr>
                <w:lang w:val="en-GB" w:eastAsia="en-US"/>
              </w:rPr>
            </w:pPr>
            <w:r w:rsidRPr="0018161F">
              <w:rPr>
                <w:rFonts w:asciiTheme="majorHAnsi" w:hAnsiTheme="majorHAnsi" w:cstheme="majorHAnsi"/>
                <w:color w:val="000000"/>
                <w:sz w:val="20"/>
                <w:szCs w:val="20"/>
                <w:lang w:val="en-GB"/>
              </w:rPr>
              <w:t>TG,R,M vs EE,MG</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0.013</w:t>
            </w:r>
          </w:p>
        </w:tc>
        <w:tc>
          <w:tcPr>
            <w:tcW w:w="2303" w:type="dxa"/>
          </w:tcPr>
          <w:p w:rsidR="00D60501" w:rsidRPr="0018161F" w:rsidRDefault="00D60501" w:rsidP="00C65846">
            <w:pPr>
              <w:jc w:val="right"/>
              <w:rPr>
                <w:lang w:eastAsia="en-US"/>
              </w:rPr>
            </w:pPr>
            <w:r w:rsidRPr="0018161F">
              <w:rPr>
                <w:rFonts w:asciiTheme="majorHAnsi" w:hAnsiTheme="majorHAnsi" w:cstheme="majorHAnsi"/>
                <w:color w:val="000000"/>
                <w:sz w:val="20"/>
                <w:szCs w:val="20"/>
              </w:rPr>
              <w:t>0.003</w:t>
            </w:r>
          </w:p>
        </w:tc>
      </w:tr>
      <w:tr w:rsidR="00D60501" w:rsidRPr="0018161F" w:rsidTr="00C65846">
        <w:tc>
          <w:tcPr>
            <w:tcW w:w="2303" w:type="dxa"/>
          </w:tcPr>
          <w:p w:rsidR="00D60501" w:rsidRPr="0018161F" w:rsidRDefault="00D60501" w:rsidP="00C65846">
            <w:pPr>
              <w:rPr>
                <w:lang w:eastAsia="en-US"/>
              </w:rPr>
            </w:pPr>
            <w:r w:rsidRPr="0018161F">
              <w:rPr>
                <w:rFonts w:asciiTheme="majorHAnsi" w:hAnsiTheme="majorHAnsi" w:cstheme="majorHAnsi"/>
                <w:b/>
                <w:sz w:val="20"/>
                <w:szCs w:val="20"/>
              </w:rPr>
              <w:t xml:space="preserve">Dyplom potwierdzający kwalifikacje uzyskany w 2015 </w:t>
            </w:r>
            <w:r w:rsidRPr="0018161F">
              <w:rPr>
                <w:rFonts w:asciiTheme="majorHAnsi" w:hAnsiTheme="majorHAnsi" w:cstheme="majorHAnsi"/>
                <w:sz w:val="20"/>
                <w:szCs w:val="20"/>
              </w:rPr>
              <w:t>(tak=1)</w:t>
            </w:r>
          </w:p>
        </w:tc>
        <w:tc>
          <w:tcPr>
            <w:tcW w:w="2303" w:type="dxa"/>
          </w:tcPr>
          <w:p w:rsidR="00D60501" w:rsidRPr="0018161F" w:rsidRDefault="00D60501" w:rsidP="00C65846">
            <w:pPr>
              <w:jc w:val="right"/>
              <w:rPr>
                <w:lang w:eastAsia="en-US"/>
              </w:rPr>
            </w:pPr>
            <w:r w:rsidRPr="0018161F">
              <w:rPr>
                <w:rFonts w:cstheme="minorHAnsi"/>
                <w:color w:val="000000"/>
                <w:sz w:val="20"/>
                <w:szCs w:val="20"/>
              </w:rPr>
              <w:t>Tak(=1)</w:t>
            </w:r>
          </w:p>
        </w:tc>
        <w:tc>
          <w:tcPr>
            <w:tcW w:w="2303" w:type="dxa"/>
          </w:tcPr>
          <w:p w:rsidR="00D60501" w:rsidRPr="0018161F" w:rsidRDefault="00D60501" w:rsidP="00C65846">
            <w:pPr>
              <w:jc w:val="right"/>
              <w:rPr>
                <w:lang w:eastAsia="en-US"/>
              </w:rPr>
            </w:pPr>
            <w:r w:rsidRPr="0018161F">
              <w:rPr>
                <w:rFonts w:cstheme="minorHAnsi"/>
                <w:color w:val="000000"/>
                <w:sz w:val="20"/>
                <w:szCs w:val="20"/>
              </w:rPr>
              <w:t>-0.064</w:t>
            </w:r>
          </w:p>
        </w:tc>
        <w:tc>
          <w:tcPr>
            <w:tcW w:w="2303" w:type="dxa"/>
          </w:tcPr>
          <w:p w:rsidR="00D60501" w:rsidRPr="0018161F" w:rsidRDefault="00D60501" w:rsidP="00C65846">
            <w:pPr>
              <w:jc w:val="right"/>
              <w:rPr>
                <w:lang w:eastAsia="en-US"/>
              </w:rPr>
            </w:pPr>
            <w:r w:rsidRPr="0018161F">
              <w:rPr>
                <w:rFonts w:cstheme="minorHAnsi"/>
                <w:color w:val="000000"/>
                <w:sz w:val="20"/>
                <w:szCs w:val="20"/>
              </w:rPr>
              <w:t>-0.078*</w:t>
            </w:r>
          </w:p>
        </w:tc>
      </w:tr>
      <w:tr w:rsidR="00D60501" w:rsidRPr="0018161F" w:rsidTr="00C65846">
        <w:tc>
          <w:tcPr>
            <w:tcW w:w="2303" w:type="dxa"/>
          </w:tcPr>
          <w:p w:rsidR="00D60501" w:rsidRPr="0018161F" w:rsidRDefault="00D60501" w:rsidP="00C65846">
            <w:pPr>
              <w:rPr>
                <w:lang w:eastAsia="en-US"/>
              </w:rPr>
            </w:pPr>
            <w:r w:rsidRPr="0018161F">
              <w:rPr>
                <w:rFonts w:cstheme="minorHAnsi"/>
                <w:b/>
                <w:sz w:val="20"/>
                <w:szCs w:val="20"/>
              </w:rPr>
              <w:t>Posiadanie pracy przed czerwcem 2015</w:t>
            </w:r>
          </w:p>
        </w:tc>
        <w:tc>
          <w:tcPr>
            <w:tcW w:w="2303" w:type="dxa"/>
          </w:tcPr>
          <w:p w:rsidR="00D60501" w:rsidRPr="0018161F" w:rsidRDefault="00D60501" w:rsidP="00C65846">
            <w:pPr>
              <w:jc w:val="right"/>
              <w:rPr>
                <w:lang w:eastAsia="en-US"/>
              </w:rPr>
            </w:pPr>
            <w:r w:rsidRPr="0018161F">
              <w:rPr>
                <w:rFonts w:cstheme="minorHAnsi"/>
                <w:color w:val="000000"/>
                <w:sz w:val="20"/>
                <w:szCs w:val="20"/>
              </w:rPr>
              <w:t>Tak(=1)</w:t>
            </w:r>
          </w:p>
        </w:tc>
        <w:tc>
          <w:tcPr>
            <w:tcW w:w="2303" w:type="dxa"/>
          </w:tcPr>
          <w:p w:rsidR="00D60501" w:rsidRPr="0018161F" w:rsidRDefault="00D60501" w:rsidP="00C65846">
            <w:pPr>
              <w:jc w:val="right"/>
              <w:rPr>
                <w:lang w:eastAsia="en-US"/>
              </w:rPr>
            </w:pPr>
            <w:r w:rsidRPr="0018161F">
              <w:rPr>
                <w:rFonts w:cstheme="minorHAnsi"/>
                <w:color w:val="000000"/>
                <w:sz w:val="20"/>
                <w:szCs w:val="20"/>
              </w:rPr>
              <w:t>-0.141**</w:t>
            </w:r>
          </w:p>
        </w:tc>
        <w:tc>
          <w:tcPr>
            <w:tcW w:w="2303" w:type="dxa"/>
          </w:tcPr>
          <w:p w:rsidR="00D60501" w:rsidRPr="0018161F" w:rsidRDefault="00D60501" w:rsidP="00C65846">
            <w:pPr>
              <w:jc w:val="right"/>
              <w:rPr>
                <w:lang w:eastAsia="en-US"/>
              </w:rPr>
            </w:pPr>
            <w:r w:rsidRPr="0018161F">
              <w:rPr>
                <w:rFonts w:cstheme="minorHAnsi"/>
                <w:color w:val="000000"/>
                <w:sz w:val="20"/>
                <w:szCs w:val="20"/>
              </w:rPr>
              <w:t>-0.121***</w:t>
            </w:r>
          </w:p>
        </w:tc>
      </w:tr>
      <w:tr w:rsidR="00D60501" w:rsidRPr="0018161F" w:rsidTr="00C65846">
        <w:tc>
          <w:tcPr>
            <w:tcW w:w="2303" w:type="dxa"/>
          </w:tcPr>
          <w:p w:rsidR="00D60501" w:rsidRPr="0018161F" w:rsidRDefault="00D60501" w:rsidP="00C65846">
            <w:pPr>
              <w:rPr>
                <w:lang w:eastAsia="en-US"/>
              </w:rPr>
            </w:pPr>
            <w:r w:rsidRPr="0018161F">
              <w:rPr>
                <w:rFonts w:asciiTheme="majorHAnsi" w:hAnsiTheme="majorHAnsi" w:cstheme="majorHAnsi"/>
                <w:b/>
                <w:sz w:val="20"/>
                <w:szCs w:val="20"/>
              </w:rPr>
              <w:t>Udział bezrobotnych w wieku 25-34 lata w 2014 roku (</w:t>
            </w:r>
            <w:r w:rsidRPr="0018161F">
              <w:rPr>
                <w:rFonts w:asciiTheme="majorHAnsi" w:hAnsiTheme="majorHAnsi" w:cstheme="majorHAnsi"/>
                <w:sz w:val="20"/>
                <w:szCs w:val="20"/>
              </w:rPr>
              <w:t>+ 1 odchylenie standardowe)</w:t>
            </w:r>
          </w:p>
        </w:tc>
        <w:tc>
          <w:tcPr>
            <w:tcW w:w="2303" w:type="dxa"/>
          </w:tcPr>
          <w:p w:rsidR="00D60501" w:rsidRPr="0018161F" w:rsidRDefault="00D60501" w:rsidP="00C65846">
            <w:pPr>
              <w:jc w:val="right"/>
              <w:rPr>
                <w:lang w:eastAsia="en-US"/>
              </w:rPr>
            </w:pPr>
            <w:r w:rsidRPr="0018161F">
              <w:rPr>
                <w:rFonts w:cstheme="minorHAnsi"/>
                <w:color w:val="000000"/>
                <w:sz w:val="20"/>
                <w:szCs w:val="20"/>
              </w:rPr>
              <w:t>Tak(=1)</w:t>
            </w:r>
          </w:p>
        </w:tc>
        <w:tc>
          <w:tcPr>
            <w:tcW w:w="2303" w:type="dxa"/>
          </w:tcPr>
          <w:p w:rsidR="00D60501" w:rsidRPr="0018161F" w:rsidRDefault="00D60501" w:rsidP="00C65846">
            <w:pPr>
              <w:jc w:val="right"/>
              <w:rPr>
                <w:lang w:eastAsia="en-US"/>
              </w:rPr>
            </w:pPr>
            <w:r w:rsidRPr="0018161F">
              <w:rPr>
                <w:rFonts w:cstheme="minorHAnsi"/>
                <w:color w:val="000000"/>
                <w:sz w:val="20"/>
                <w:szCs w:val="20"/>
              </w:rPr>
              <w:t>0.057**</w:t>
            </w:r>
          </w:p>
        </w:tc>
        <w:tc>
          <w:tcPr>
            <w:tcW w:w="2303" w:type="dxa"/>
          </w:tcPr>
          <w:p w:rsidR="00D60501" w:rsidRPr="0018161F" w:rsidRDefault="00D60501" w:rsidP="00C65846">
            <w:pPr>
              <w:jc w:val="right"/>
              <w:rPr>
                <w:lang w:eastAsia="en-US"/>
              </w:rPr>
            </w:pPr>
            <w:r w:rsidRPr="0018161F">
              <w:rPr>
                <w:rFonts w:cstheme="minorHAnsi"/>
                <w:color w:val="000000"/>
                <w:sz w:val="20"/>
                <w:szCs w:val="20"/>
              </w:rPr>
              <w:t>0.066***</w:t>
            </w:r>
          </w:p>
        </w:tc>
      </w:tr>
    </w:tbl>
    <w:p w:rsidR="00D60501" w:rsidRPr="0018161F" w:rsidRDefault="00D60501" w:rsidP="00D60501"/>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Źródło: runda pilotażowa badania MLEZAMID.</w:t>
      </w:r>
    </w:p>
    <w:p w:rsidR="00D60501" w:rsidRPr="0018161F" w:rsidRDefault="00D60501" w:rsidP="00D60501">
      <w:pPr>
        <w:keepNext/>
        <w:keepLines/>
        <w:spacing w:before="40"/>
        <w:outlineLvl w:val="2"/>
        <w:rPr>
          <w:rFonts w:eastAsiaTheme="majorEastAsia" w:cstheme="majorBidi"/>
          <w:b/>
          <w:i/>
          <w:color w:val="000000" w:themeColor="text1"/>
        </w:rPr>
      </w:pPr>
      <w:r w:rsidRPr="0018161F">
        <w:rPr>
          <w:rFonts w:eastAsiaTheme="majorEastAsia" w:cstheme="majorBidi"/>
          <w:b/>
          <w:i/>
          <w:color w:val="000000" w:themeColor="text1"/>
        </w:rPr>
        <w:t xml:space="preserve"> </w:t>
      </w:r>
      <w:bookmarkStart w:id="4" w:name="_Toc529951297"/>
      <w:r w:rsidRPr="0018161F">
        <w:rPr>
          <w:rFonts w:eastAsiaTheme="majorEastAsia" w:cstheme="majorBidi"/>
          <w:b/>
          <w:i/>
          <w:color w:val="000000" w:themeColor="text1"/>
        </w:rPr>
        <w:t>Prace dorywcze</w:t>
      </w:r>
      <w:bookmarkEnd w:id="4"/>
    </w:p>
    <w:p w:rsidR="00D60501" w:rsidRPr="0018161F" w:rsidRDefault="00D60501" w:rsidP="00D60501"/>
    <w:p w:rsidR="00D60501" w:rsidRPr="0018161F" w:rsidRDefault="00D60501" w:rsidP="00D60501">
      <w:r w:rsidRPr="0018161F">
        <w:t xml:space="preserve">Przedstawione powyżej analizy pokazują, że posiadanie pracy przed zakończeniem nauki istotnie zmniejsza prawdopodobieństwo trafienia do grupy osób nieaktywnych, a zwiększa szanse łączenia przez absolwentów pracy z nauką. W tym kontekście znaczenia nabierają wszelkie doświadczenia zawodowe, również te, które trwały zbyt krótko, aby nasi respondenci odnotowali je jako epizody zatrudnienia. </w:t>
      </w:r>
    </w:p>
    <w:p w:rsidR="00D60501" w:rsidRPr="0018161F" w:rsidRDefault="00D60501" w:rsidP="00D60501">
      <w:r w:rsidRPr="0018161F">
        <w:lastRenderedPageBreak/>
        <w:t xml:space="preserve">Dlatego ankietowanych absolwentów zapytano o podejmowanie prac dorywczych i sezonowych – z założenia nieregularnych i trwających nie dłużej niż kilka – kilkanaście dni, które badani podejmowali od lipca 2015 roku. Jak się okazało, prac dorywczych w badanym okresie podejmowało się zaledwie 23% ogółu badanych. Wyraźnie częściej (35%) prac dorywczych podejmowali się absolwenci techników, którzy kontynuują naukę w szkołach policealnych lub na studiach.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Tabela 7</w:t>
      </w:r>
      <w:r w:rsidRPr="0018161F">
        <w:rPr>
          <w:rFonts w:eastAsiaTheme="minorHAnsi" w:cstheme="minorBidi"/>
          <w:i/>
          <w:iCs/>
          <w:noProof/>
          <w:color w:val="44546A" w:themeColor="text2"/>
          <w:sz w:val="20"/>
          <w:szCs w:val="18"/>
          <w:lang w:eastAsia="en-US"/>
        </w:rPr>
        <w:t>.</w:t>
      </w:r>
      <w:r w:rsidRPr="0018161F">
        <w:rPr>
          <w:rFonts w:eastAsiaTheme="minorHAnsi" w:cstheme="minorBidi"/>
          <w:i/>
          <w:iCs/>
          <w:color w:val="44546A" w:themeColor="text2"/>
          <w:sz w:val="20"/>
          <w:szCs w:val="18"/>
          <w:lang w:eastAsia="en-US"/>
        </w:rPr>
        <w:t xml:space="preserve"> Podejmowanie prac dorywczych przez absolwentów szkół kształcących zawodowo</w:t>
      </w:r>
    </w:p>
    <w:tbl>
      <w:tblPr>
        <w:tblStyle w:val="Tabela-Siatka"/>
        <w:tblW w:w="0" w:type="auto"/>
        <w:tblLook w:val="04A0" w:firstRow="1" w:lastRow="0" w:firstColumn="1" w:lastColumn="0" w:noHBand="0" w:noVBand="1"/>
      </w:tblPr>
      <w:tblGrid>
        <w:gridCol w:w="5599"/>
        <w:gridCol w:w="521"/>
        <w:gridCol w:w="881"/>
      </w:tblGrid>
      <w:tr w:rsidR="00D60501" w:rsidRPr="0018161F" w:rsidTr="00C65846">
        <w:tc>
          <w:tcPr>
            <w:tcW w:w="0" w:type="auto"/>
            <w:shd w:val="clear" w:color="auto" w:fill="BFBFBF" w:themeFill="background1" w:themeFillShade="BF"/>
          </w:tcPr>
          <w:p w:rsidR="00D60501" w:rsidRPr="0018161F" w:rsidRDefault="00D60501" w:rsidP="00C65846">
            <w:pPr>
              <w:rPr>
                <w:rFonts w:asciiTheme="majorHAnsi" w:hAnsiTheme="majorHAnsi" w:cstheme="majorHAnsi"/>
                <w:b/>
                <w:sz w:val="20"/>
                <w:szCs w:val="20"/>
              </w:rPr>
            </w:pPr>
            <w:r w:rsidRPr="0018161F">
              <w:rPr>
                <w:rFonts w:asciiTheme="majorHAnsi" w:hAnsiTheme="majorHAnsi" w:cstheme="majorHAnsi"/>
                <w:b/>
                <w:sz w:val="20"/>
                <w:szCs w:val="20"/>
              </w:rPr>
              <w:t>Kategoria</w:t>
            </w:r>
          </w:p>
        </w:tc>
        <w:tc>
          <w:tcPr>
            <w:tcW w:w="0" w:type="auto"/>
            <w:shd w:val="clear" w:color="auto" w:fill="BFBFBF" w:themeFill="background1" w:themeFillShade="BF"/>
          </w:tcPr>
          <w:p w:rsidR="00D60501" w:rsidRPr="0018161F" w:rsidRDefault="00D60501" w:rsidP="00C65846">
            <w:pPr>
              <w:rPr>
                <w:rFonts w:asciiTheme="majorHAnsi" w:hAnsiTheme="majorHAnsi" w:cstheme="majorHAnsi"/>
                <w:b/>
                <w:sz w:val="20"/>
                <w:szCs w:val="20"/>
              </w:rPr>
            </w:pPr>
            <w:r w:rsidRPr="0018161F">
              <w:rPr>
                <w:rFonts w:asciiTheme="majorHAnsi" w:hAnsiTheme="majorHAnsi" w:cstheme="majorHAnsi"/>
                <w:b/>
                <w:sz w:val="20"/>
                <w:szCs w:val="20"/>
              </w:rPr>
              <w:t>N</w:t>
            </w:r>
          </w:p>
        </w:tc>
        <w:tc>
          <w:tcPr>
            <w:tcW w:w="864" w:type="dxa"/>
            <w:shd w:val="clear" w:color="auto" w:fill="BFBFBF" w:themeFill="background1" w:themeFillShade="BF"/>
          </w:tcPr>
          <w:p w:rsidR="00D60501" w:rsidRPr="0018161F" w:rsidRDefault="00D60501" w:rsidP="00C65846">
            <w:pPr>
              <w:rPr>
                <w:rFonts w:asciiTheme="majorHAnsi" w:hAnsiTheme="majorHAnsi" w:cstheme="majorHAnsi"/>
                <w:b/>
                <w:sz w:val="20"/>
                <w:szCs w:val="20"/>
              </w:rPr>
            </w:pPr>
            <w:r w:rsidRPr="0018161F">
              <w:rPr>
                <w:rFonts w:asciiTheme="majorHAnsi" w:hAnsiTheme="majorHAnsi" w:cstheme="majorHAnsi"/>
                <w:b/>
                <w:sz w:val="20"/>
                <w:szCs w:val="20"/>
              </w:rPr>
              <w:t>Odsetek</w:t>
            </w:r>
          </w:p>
        </w:tc>
      </w:tr>
      <w:tr w:rsidR="00D60501" w:rsidRPr="0018161F" w:rsidTr="00C65846">
        <w:tc>
          <w:tcPr>
            <w:tcW w:w="0" w:type="auto"/>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Absolwenci ZSZ aktywni zawodowo i nieaktywni edukacyjnie</w:t>
            </w:r>
          </w:p>
        </w:tc>
        <w:tc>
          <w:tcPr>
            <w:tcW w:w="0" w:type="auto"/>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548</w:t>
            </w:r>
          </w:p>
        </w:tc>
        <w:tc>
          <w:tcPr>
            <w:tcW w:w="864" w:type="dxa"/>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21%</w:t>
            </w:r>
          </w:p>
        </w:tc>
      </w:tr>
      <w:tr w:rsidR="00D60501" w:rsidRPr="0018161F" w:rsidTr="00C65846">
        <w:tc>
          <w:tcPr>
            <w:tcW w:w="0" w:type="auto"/>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Absolwenci techników aktywni zawodowo i nieaktywni edukacyjnie</w:t>
            </w:r>
          </w:p>
        </w:tc>
        <w:tc>
          <w:tcPr>
            <w:tcW w:w="0" w:type="auto"/>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852</w:t>
            </w:r>
          </w:p>
        </w:tc>
        <w:tc>
          <w:tcPr>
            <w:tcW w:w="864" w:type="dxa"/>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20%</w:t>
            </w:r>
          </w:p>
        </w:tc>
      </w:tr>
      <w:tr w:rsidR="00D60501" w:rsidRPr="0018161F" w:rsidTr="00C65846">
        <w:tc>
          <w:tcPr>
            <w:tcW w:w="0" w:type="auto"/>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Absolwenci ZSZ łączący pracę z nauką</w:t>
            </w:r>
          </w:p>
        </w:tc>
        <w:tc>
          <w:tcPr>
            <w:tcW w:w="0" w:type="auto"/>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208</w:t>
            </w:r>
          </w:p>
        </w:tc>
        <w:tc>
          <w:tcPr>
            <w:tcW w:w="864" w:type="dxa"/>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24%</w:t>
            </w:r>
          </w:p>
        </w:tc>
      </w:tr>
      <w:tr w:rsidR="00D60501" w:rsidRPr="0018161F" w:rsidTr="00C65846">
        <w:tc>
          <w:tcPr>
            <w:tcW w:w="0" w:type="auto"/>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Absolwenci techników łączący pracę z nauką</w:t>
            </w:r>
          </w:p>
        </w:tc>
        <w:tc>
          <w:tcPr>
            <w:tcW w:w="0" w:type="auto"/>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415</w:t>
            </w:r>
          </w:p>
        </w:tc>
        <w:tc>
          <w:tcPr>
            <w:tcW w:w="864" w:type="dxa"/>
          </w:tcPr>
          <w:p w:rsidR="00D60501" w:rsidRPr="0018161F" w:rsidRDefault="00D60501" w:rsidP="00C65846">
            <w:pPr>
              <w:rPr>
                <w:rFonts w:asciiTheme="majorHAnsi" w:hAnsiTheme="majorHAnsi" w:cstheme="majorHAnsi"/>
                <w:sz w:val="20"/>
                <w:szCs w:val="20"/>
              </w:rPr>
            </w:pPr>
            <w:r w:rsidRPr="0018161F">
              <w:rPr>
                <w:rFonts w:asciiTheme="majorHAnsi" w:hAnsiTheme="majorHAnsi" w:cstheme="majorHAnsi"/>
                <w:sz w:val="20"/>
                <w:szCs w:val="20"/>
              </w:rPr>
              <w:t>35%</w:t>
            </w:r>
          </w:p>
        </w:tc>
      </w:tr>
    </w:tbl>
    <w:p w:rsidR="00D60501" w:rsidRPr="0018161F" w:rsidRDefault="00D60501" w:rsidP="00D60501"/>
    <w:p w:rsidR="00D60501" w:rsidRPr="0018161F" w:rsidRDefault="00D60501" w:rsidP="00D60501">
      <w:r w:rsidRPr="0018161F">
        <w:t xml:space="preserve">Średnio, badani wskazywali na trzy takie sytuacje (N=465, </w:t>
      </w:r>
      <w:proofErr w:type="spellStart"/>
      <w:r w:rsidRPr="0018161F">
        <w:t>std</w:t>
      </w:r>
      <w:proofErr w:type="spellEnd"/>
      <w:r w:rsidRPr="0018161F">
        <w:t xml:space="preserve">=5), a całkowity okres wykonywania prac dorywczych w badanych okresie oszacowano na średnio 15 tygodni (N=367, </w:t>
      </w:r>
      <w:proofErr w:type="spellStart"/>
      <w:r w:rsidRPr="0018161F">
        <w:t>std</w:t>
      </w:r>
      <w:proofErr w:type="spellEnd"/>
      <w:r w:rsidRPr="0018161F">
        <w:t>=20). Niemniej zarówno w przypadku liczby, jak i całkowitego okresu prac dorywczych, odpowiedzi absolwentów były bardzo zróżnicowane a podawane szacunki nierzadko mało wiarygodne. Branże, w których absolwenci pracowali dorywczo pozostają w pewnym stopniu zgodne z ich obszarami kształcenia. W szczególności dotyczy do absolwentów kierunków budowlanych, turystyczno-gastronomicznych oraz administracyjno-usługowych, którzy najczęściej pracowali dorywczo w swoich wyuczonych kierunkach – budownictwie, gastronomii oraz handlu. Odsetek absolwentów podejmujących prace dorywcze w rolnictwie pozostaje podobny (około 21% wśród osób podejmujących prace dorywcze), niezależnie od obszaru wykształcenia respondenta. Prace dorywcze w rolnictwie najwyraźniej wiążą się głównie z pomocą w rodzinnym gospodarstwie rolnym. Są również wyraźnie częstsze wśród zamieszkujących w powiatach o bardziej rolniczym charakterze: w powiatach o udziale użytków rolnych poniżej 48% odsetek prace dorywcze w rolnictwie wykonywał co 10 badany a w powiatach o udziale użytków rolnych przekraczającym 73%  było to 48% badanych absolwentów.</w:t>
      </w:r>
    </w:p>
    <w:p w:rsidR="00D60501" w:rsidRPr="0018161F" w:rsidRDefault="00D60501" w:rsidP="00D60501">
      <w:r w:rsidRPr="0018161F">
        <w:t xml:space="preserve">Znaczna część prac dorywczych absolwentów ma charakter nieformalny. Niemniej, absolwenci techników i ZSZ, którzy kontynuują naukę częściej niż pozostali podejmowali prace dorywcze, które wiązały się jednak z podpisaniem jakiekolwiek umowy.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lastRenderedPageBreak/>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12</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noProof/>
          <w:color w:val="44546A" w:themeColor="text2"/>
          <w:sz w:val="20"/>
          <w:szCs w:val="18"/>
        </w:rPr>
        <w:drawing>
          <wp:anchor distT="0" distB="0" distL="114300" distR="114300" simplePos="0" relativeHeight="251659264" behindDoc="0" locked="0" layoutInCell="1" allowOverlap="1" wp14:anchorId="448DB58C" wp14:editId="0B7AA763">
            <wp:simplePos x="0" y="0"/>
            <wp:positionH relativeFrom="column">
              <wp:posOffset>61595</wp:posOffset>
            </wp:positionH>
            <wp:positionV relativeFrom="paragraph">
              <wp:posOffset>477520</wp:posOffset>
            </wp:positionV>
            <wp:extent cx="4632325" cy="2436495"/>
            <wp:effectExtent l="0" t="0" r="0" b="1905"/>
            <wp:wrapTopAndBottom/>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2325" cy="2436495"/>
                    </a:xfrm>
                    <a:prstGeom prst="rect">
                      <a:avLst/>
                    </a:prstGeom>
                  </pic:spPr>
                </pic:pic>
              </a:graphicData>
            </a:graphic>
            <wp14:sizeRelH relativeFrom="margin">
              <wp14:pctWidth>0</wp14:pctWidth>
            </wp14:sizeRelH>
            <wp14:sizeRelV relativeFrom="margin">
              <wp14:pctHeight>0</wp14:pctHeight>
            </wp14:sizeRelV>
          </wp:anchor>
        </w:drawing>
      </w:r>
      <w:r w:rsidRPr="0018161F">
        <w:rPr>
          <w:rFonts w:eastAsiaTheme="minorHAnsi" w:cstheme="minorBidi"/>
          <w:i/>
          <w:iCs/>
          <w:color w:val="44546A" w:themeColor="text2"/>
          <w:sz w:val="20"/>
          <w:szCs w:val="18"/>
          <w:lang w:eastAsia="en-US"/>
        </w:rPr>
        <w:t xml:space="preserve"> Prace dorywcze i podstawa zatrudnienia – porównanie doświadczeń absolwentów techników i ZSZ</w:t>
      </w:r>
    </w:p>
    <w:p w:rsidR="00D60501" w:rsidRPr="0018161F" w:rsidRDefault="00D60501" w:rsidP="00D60501"/>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p w:rsidR="00D60501" w:rsidRPr="0018161F" w:rsidRDefault="00D60501" w:rsidP="00D60501">
      <w:pPr>
        <w:keepNext/>
        <w:keepLines/>
        <w:spacing w:before="40"/>
        <w:outlineLvl w:val="2"/>
        <w:rPr>
          <w:rFonts w:eastAsiaTheme="majorEastAsia" w:cstheme="majorBidi"/>
          <w:b/>
          <w:i/>
          <w:color w:val="000000" w:themeColor="text1"/>
        </w:rPr>
      </w:pPr>
      <w:bookmarkStart w:id="5" w:name="_Toc529951298"/>
      <w:r w:rsidRPr="0018161F">
        <w:rPr>
          <w:rFonts w:eastAsiaTheme="majorEastAsia" w:cstheme="majorBidi"/>
          <w:b/>
          <w:i/>
          <w:color w:val="000000" w:themeColor="text1"/>
        </w:rPr>
        <w:t>Pierwsza praca absolwentów szkół kształcących zawodowo – ogólna charakterystyka</w:t>
      </w:r>
      <w:bookmarkEnd w:id="5"/>
    </w:p>
    <w:p w:rsidR="00D60501" w:rsidRPr="0018161F" w:rsidRDefault="00D60501" w:rsidP="00D60501">
      <w:pPr>
        <w:keepNext/>
        <w:keepLines/>
        <w:spacing w:before="40"/>
        <w:outlineLvl w:val="2"/>
        <w:rPr>
          <w:rFonts w:eastAsiaTheme="majorEastAsia" w:cstheme="majorBidi"/>
          <w:b/>
          <w:i/>
          <w:color w:val="000000" w:themeColor="text1"/>
        </w:rPr>
      </w:pPr>
    </w:p>
    <w:p w:rsidR="00D60501" w:rsidRPr="0018161F" w:rsidRDefault="00D60501" w:rsidP="00D60501">
      <w:r w:rsidRPr="0018161F">
        <w:t xml:space="preserve">Wiele badań wskazuje, że pierwsza praca absolwentów ma duże znaczenie dla przebiegu ich dalszej kariery zawodowej. Zarazem, w przypadku badanej grupy absolwentów szkół kształcących zawodowo, pierwsza praca to zarazem najczęściej ich jedyne, dotychczasowe doświadczenie zawodowe. W momencie realizacji badania pracę podjętą w pierwszym miejscu zatrudnienia kontynuowało aż 62% badanych absolwentów. </w:t>
      </w:r>
    </w:p>
    <w:p w:rsidR="00D60501" w:rsidRPr="0018161F" w:rsidRDefault="00B21D74"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drawing>
          <wp:anchor distT="0" distB="0" distL="114300" distR="114300" simplePos="0" relativeHeight="251661312" behindDoc="0" locked="0" layoutInCell="1" allowOverlap="1" wp14:anchorId="64D4D792" wp14:editId="545EE011">
            <wp:simplePos x="0" y="0"/>
            <wp:positionH relativeFrom="column">
              <wp:posOffset>62230</wp:posOffset>
            </wp:positionH>
            <wp:positionV relativeFrom="paragraph">
              <wp:posOffset>476885</wp:posOffset>
            </wp:positionV>
            <wp:extent cx="4312285" cy="2268220"/>
            <wp:effectExtent l="0" t="0" r="0"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2285" cy="2268220"/>
                    </a:xfrm>
                    <a:prstGeom prst="rect">
                      <a:avLst/>
                    </a:prstGeom>
                  </pic:spPr>
                </pic:pic>
              </a:graphicData>
            </a:graphic>
            <wp14:sizeRelH relativeFrom="margin">
              <wp14:pctWidth>0</wp14:pctWidth>
            </wp14:sizeRelH>
            <wp14:sizeRelV relativeFrom="margin">
              <wp14:pctHeight>0</wp14:pctHeight>
            </wp14:sizeRelV>
          </wp:anchor>
        </w:drawing>
      </w:r>
      <w:r w:rsidR="00D60501" w:rsidRPr="0018161F">
        <w:rPr>
          <w:rFonts w:eastAsiaTheme="minorHAnsi" w:cstheme="minorBidi"/>
          <w:i/>
          <w:iCs/>
          <w:color w:val="44546A" w:themeColor="text2"/>
          <w:sz w:val="20"/>
          <w:szCs w:val="18"/>
          <w:lang w:eastAsia="en-US"/>
        </w:rPr>
        <w:t xml:space="preserve">es </w:t>
      </w:r>
      <w:r w:rsidR="00D60501" w:rsidRPr="0018161F">
        <w:rPr>
          <w:rFonts w:eastAsiaTheme="minorHAnsi" w:cstheme="minorBidi"/>
          <w:i/>
          <w:iCs/>
          <w:noProof/>
          <w:color w:val="44546A" w:themeColor="text2"/>
          <w:sz w:val="20"/>
          <w:szCs w:val="18"/>
          <w:lang w:eastAsia="en-US"/>
        </w:rPr>
        <w:fldChar w:fldCharType="begin"/>
      </w:r>
      <w:r w:rsidR="00D60501" w:rsidRPr="0018161F">
        <w:rPr>
          <w:rFonts w:eastAsiaTheme="minorHAnsi" w:cstheme="minorBidi"/>
          <w:i/>
          <w:iCs/>
          <w:noProof/>
          <w:color w:val="44546A" w:themeColor="text2"/>
          <w:sz w:val="20"/>
          <w:szCs w:val="18"/>
          <w:lang w:eastAsia="en-US"/>
        </w:rPr>
        <w:instrText xml:space="preserve"> SEQ Wykres \* ARABIC </w:instrText>
      </w:r>
      <w:r w:rsidR="00D60501" w:rsidRPr="0018161F">
        <w:rPr>
          <w:rFonts w:eastAsiaTheme="minorHAnsi" w:cstheme="minorBidi"/>
          <w:i/>
          <w:iCs/>
          <w:noProof/>
          <w:color w:val="44546A" w:themeColor="text2"/>
          <w:sz w:val="20"/>
          <w:szCs w:val="18"/>
          <w:lang w:eastAsia="en-US"/>
        </w:rPr>
        <w:fldChar w:fldCharType="separate"/>
      </w:r>
      <w:r w:rsidR="00D60501">
        <w:rPr>
          <w:rFonts w:eastAsiaTheme="minorHAnsi" w:cstheme="minorBidi"/>
          <w:i/>
          <w:iCs/>
          <w:noProof/>
          <w:color w:val="44546A" w:themeColor="text2"/>
          <w:sz w:val="20"/>
          <w:szCs w:val="18"/>
          <w:lang w:eastAsia="en-US"/>
        </w:rPr>
        <w:t>12</w:t>
      </w:r>
      <w:r w:rsidR="00D60501" w:rsidRPr="0018161F">
        <w:rPr>
          <w:rFonts w:eastAsiaTheme="minorHAnsi" w:cstheme="minorBidi"/>
          <w:i/>
          <w:iCs/>
          <w:noProof/>
          <w:color w:val="44546A" w:themeColor="text2"/>
          <w:sz w:val="20"/>
          <w:szCs w:val="18"/>
          <w:lang w:eastAsia="en-US"/>
        </w:rPr>
        <w:fldChar w:fldCharType="end"/>
      </w:r>
      <w:r w:rsidR="00D60501" w:rsidRPr="0018161F">
        <w:rPr>
          <w:rFonts w:eastAsiaTheme="minorHAnsi" w:cstheme="minorBidi"/>
          <w:i/>
          <w:iCs/>
          <w:color w:val="44546A" w:themeColor="text2"/>
          <w:sz w:val="20"/>
          <w:szCs w:val="18"/>
          <w:lang w:eastAsia="en-US"/>
        </w:rPr>
        <w:t xml:space="preserve"> Prace dorywcze i podstawa zatrudnienia – porównanie doświadczeń absolwentów techników i ZSZ</w:t>
      </w:r>
    </w:p>
    <w:p w:rsidR="00D60501" w:rsidRPr="0018161F" w:rsidRDefault="00D60501" w:rsidP="00D60501"/>
    <w:p w:rsidR="00D60501" w:rsidRPr="00B21D74" w:rsidRDefault="00D60501" w:rsidP="00B21D74">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tbl>
      <w:tblPr>
        <w:tblStyle w:val="Tabela-Siatka"/>
        <w:tblW w:w="7876" w:type="dxa"/>
        <w:tblLook w:val="04A0" w:firstRow="1" w:lastRow="0" w:firstColumn="1" w:lastColumn="0" w:noHBand="0" w:noVBand="1"/>
      </w:tblPr>
      <w:tblGrid>
        <w:gridCol w:w="7640"/>
        <w:gridCol w:w="1222"/>
      </w:tblGrid>
      <w:tr w:rsidR="00D60501" w:rsidRPr="0018161F" w:rsidTr="00C65846">
        <w:trPr>
          <w:trHeight w:val="320"/>
        </w:trPr>
        <w:tc>
          <w:tcPr>
            <w:tcW w:w="7640" w:type="dxa"/>
            <w:shd w:val="clear" w:color="auto" w:fill="BFBFBF" w:themeFill="background1" w:themeFillShade="BF"/>
            <w:noWrap/>
            <w:hideMark/>
          </w:tcPr>
          <w:p w:rsidR="00D60501" w:rsidRPr="0018161F" w:rsidRDefault="00D60501" w:rsidP="00C65846">
            <w:pPr>
              <w:rPr>
                <w:rFonts w:asciiTheme="majorHAnsi" w:hAnsiTheme="majorHAnsi" w:cstheme="majorHAnsi"/>
                <w:b/>
                <w:sz w:val="20"/>
                <w:szCs w:val="20"/>
              </w:rPr>
            </w:pPr>
            <w:r w:rsidRPr="0018161F">
              <w:rPr>
                <w:rFonts w:asciiTheme="majorHAnsi" w:hAnsiTheme="majorHAnsi" w:cstheme="majorHAnsi"/>
                <w:b/>
                <w:sz w:val="20"/>
                <w:szCs w:val="20"/>
              </w:rPr>
              <w:t>Kategoria</w:t>
            </w:r>
          </w:p>
        </w:tc>
        <w:tc>
          <w:tcPr>
            <w:tcW w:w="236" w:type="dxa"/>
            <w:shd w:val="clear" w:color="auto" w:fill="BFBFBF" w:themeFill="background1" w:themeFillShade="BF"/>
            <w:noWrap/>
            <w:hideMark/>
          </w:tcPr>
          <w:p w:rsidR="00D60501" w:rsidRPr="0018161F" w:rsidRDefault="00D60501" w:rsidP="00C65846">
            <w:pPr>
              <w:rPr>
                <w:rFonts w:asciiTheme="majorHAnsi" w:hAnsiTheme="majorHAnsi" w:cstheme="majorHAnsi"/>
                <w:b/>
                <w:color w:val="000000"/>
                <w:sz w:val="20"/>
                <w:szCs w:val="20"/>
              </w:rPr>
            </w:pPr>
            <w:r w:rsidRPr="0018161F">
              <w:rPr>
                <w:rFonts w:asciiTheme="majorHAnsi" w:hAnsiTheme="majorHAnsi" w:cstheme="majorHAnsi"/>
                <w:b/>
                <w:color w:val="000000"/>
                <w:sz w:val="20"/>
                <w:szCs w:val="20"/>
              </w:rPr>
              <w:t xml:space="preserve">Kontynuuje pracę w pierwszym miejscu zatrudnienia (%) </w:t>
            </w:r>
          </w:p>
        </w:tc>
      </w:tr>
      <w:tr w:rsidR="00D60501" w:rsidRPr="0018161F" w:rsidTr="00C65846">
        <w:trPr>
          <w:trHeight w:val="320"/>
        </w:trPr>
        <w:tc>
          <w:tcPr>
            <w:tcW w:w="7640"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Absolwenci ZSZ kontynuujący naukę w LO dla dorosłych N=[52]</w:t>
            </w:r>
          </w:p>
        </w:tc>
        <w:tc>
          <w:tcPr>
            <w:tcW w:w="236" w:type="dxa"/>
            <w:noWrap/>
            <w:vAlign w:val="center"/>
            <w:hideMark/>
          </w:tcPr>
          <w:p w:rsidR="00D60501" w:rsidRPr="0018161F" w:rsidRDefault="00D60501" w:rsidP="00C65846">
            <w:pPr>
              <w:ind w:firstLineChars="300" w:firstLine="600"/>
              <w:jc w:val="center"/>
              <w:rPr>
                <w:rFonts w:asciiTheme="majorHAnsi" w:hAnsiTheme="majorHAnsi" w:cstheme="majorHAnsi"/>
                <w:color w:val="000000"/>
                <w:sz w:val="20"/>
                <w:szCs w:val="20"/>
              </w:rPr>
            </w:pPr>
            <w:r w:rsidRPr="0018161F">
              <w:rPr>
                <w:rFonts w:asciiTheme="majorHAnsi" w:hAnsiTheme="majorHAnsi" w:cstheme="majorHAnsi"/>
                <w:color w:val="000000"/>
                <w:sz w:val="20"/>
                <w:szCs w:val="20"/>
              </w:rPr>
              <w:t>64%</w:t>
            </w:r>
          </w:p>
        </w:tc>
      </w:tr>
      <w:tr w:rsidR="00D60501" w:rsidRPr="0018161F" w:rsidTr="00C65846">
        <w:trPr>
          <w:trHeight w:val="320"/>
        </w:trPr>
        <w:tc>
          <w:tcPr>
            <w:tcW w:w="7640"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Absolwenci ZSZ niekontynuujący nauki N=[760]</w:t>
            </w:r>
          </w:p>
        </w:tc>
        <w:tc>
          <w:tcPr>
            <w:tcW w:w="236" w:type="dxa"/>
            <w:noWrap/>
            <w:vAlign w:val="center"/>
            <w:hideMark/>
          </w:tcPr>
          <w:p w:rsidR="00D60501" w:rsidRPr="0018161F" w:rsidRDefault="00D60501" w:rsidP="00C65846">
            <w:pPr>
              <w:ind w:firstLineChars="300" w:firstLine="600"/>
              <w:jc w:val="center"/>
              <w:rPr>
                <w:rFonts w:asciiTheme="majorHAnsi" w:hAnsiTheme="majorHAnsi" w:cstheme="majorHAnsi"/>
                <w:color w:val="000000"/>
                <w:sz w:val="20"/>
                <w:szCs w:val="20"/>
              </w:rPr>
            </w:pPr>
            <w:r w:rsidRPr="0018161F">
              <w:rPr>
                <w:rFonts w:asciiTheme="majorHAnsi" w:hAnsiTheme="majorHAnsi" w:cstheme="majorHAnsi"/>
                <w:color w:val="000000"/>
                <w:sz w:val="20"/>
                <w:szCs w:val="20"/>
              </w:rPr>
              <w:t>66%</w:t>
            </w:r>
          </w:p>
        </w:tc>
      </w:tr>
      <w:tr w:rsidR="00D60501" w:rsidRPr="0018161F" w:rsidTr="00C65846">
        <w:trPr>
          <w:trHeight w:val="320"/>
        </w:trPr>
        <w:tc>
          <w:tcPr>
            <w:tcW w:w="7640"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Absolwenci technikum kontynuujący naukę w szkole policealnej lub na studiach N=[312]</w:t>
            </w:r>
          </w:p>
        </w:tc>
        <w:tc>
          <w:tcPr>
            <w:tcW w:w="236" w:type="dxa"/>
            <w:noWrap/>
            <w:vAlign w:val="center"/>
            <w:hideMark/>
          </w:tcPr>
          <w:p w:rsidR="00D60501" w:rsidRPr="0018161F" w:rsidRDefault="00D60501" w:rsidP="00C65846">
            <w:pPr>
              <w:ind w:firstLineChars="300" w:firstLine="600"/>
              <w:jc w:val="center"/>
              <w:rPr>
                <w:rFonts w:asciiTheme="majorHAnsi" w:hAnsiTheme="majorHAnsi" w:cstheme="majorHAnsi"/>
                <w:color w:val="000000"/>
                <w:sz w:val="20"/>
                <w:szCs w:val="20"/>
              </w:rPr>
            </w:pPr>
            <w:r w:rsidRPr="0018161F">
              <w:rPr>
                <w:rFonts w:asciiTheme="majorHAnsi" w:hAnsiTheme="majorHAnsi" w:cstheme="majorHAnsi"/>
                <w:color w:val="000000"/>
                <w:sz w:val="20"/>
                <w:szCs w:val="20"/>
              </w:rPr>
              <w:t>50%</w:t>
            </w:r>
          </w:p>
        </w:tc>
      </w:tr>
      <w:tr w:rsidR="00D60501" w:rsidRPr="0018161F" w:rsidTr="00C65846">
        <w:trPr>
          <w:trHeight w:val="320"/>
        </w:trPr>
        <w:tc>
          <w:tcPr>
            <w:tcW w:w="7640"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Absolwenci technikum niekontynuujący nauki N=[1044]</w:t>
            </w:r>
          </w:p>
        </w:tc>
        <w:tc>
          <w:tcPr>
            <w:tcW w:w="236" w:type="dxa"/>
            <w:noWrap/>
            <w:vAlign w:val="center"/>
            <w:hideMark/>
          </w:tcPr>
          <w:p w:rsidR="00D60501" w:rsidRPr="0018161F" w:rsidRDefault="00D60501" w:rsidP="00C65846">
            <w:pPr>
              <w:ind w:firstLineChars="300" w:firstLine="600"/>
              <w:jc w:val="center"/>
              <w:rPr>
                <w:rFonts w:asciiTheme="majorHAnsi" w:hAnsiTheme="majorHAnsi" w:cstheme="majorHAnsi"/>
                <w:color w:val="000000"/>
                <w:sz w:val="20"/>
                <w:szCs w:val="20"/>
              </w:rPr>
            </w:pPr>
            <w:r w:rsidRPr="0018161F">
              <w:rPr>
                <w:rFonts w:asciiTheme="majorHAnsi" w:hAnsiTheme="majorHAnsi" w:cstheme="majorHAnsi"/>
                <w:color w:val="000000"/>
                <w:sz w:val="20"/>
                <w:szCs w:val="20"/>
              </w:rPr>
              <w:t>63%</w:t>
            </w:r>
          </w:p>
        </w:tc>
      </w:tr>
      <w:tr w:rsidR="00D60501" w:rsidRPr="0018161F" w:rsidTr="00C65846">
        <w:trPr>
          <w:trHeight w:val="320"/>
        </w:trPr>
        <w:tc>
          <w:tcPr>
            <w:tcW w:w="7640" w:type="dxa"/>
            <w:noWrap/>
            <w:hideMark/>
          </w:tcPr>
          <w:p w:rsidR="00D60501" w:rsidRPr="0018161F" w:rsidRDefault="00D60501" w:rsidP="00C65846">
            <w:pPr>
              <w:rPr>
                <w:rFonts w:asciiTheme="majorHAnsi" w:hAnsiTheme="majorHAnsi" w:cstheme="majorHAnsi"/>
                <w:color w:val="000000"/>
                <w:sz w:val="20"/>
                <w:szCs w:val="20"/>
              </w:rPr>
            </w:pPr>
            <w:r w:rsidRPr="0018161F">
              <w:rPr>
                <w:rFonts w:asciiTheme="majorHAnsi" w:hAnsiTheme="majorHAnsi" w:cstheme="majorHAnsi"/>
                <w:color w:val="000000"/>
                <w:sz w:val="20"/>
                <w:szCs w:val="20"/>
              </w:rPr>
              <w:t>Ogółem [N=2168]</w:t>
            </w:r>
          </w:p>
        </w:tc>
        <w:tc>
          <w:tcPr>
            <w:tcW w:w="236" w:type="dxa"/>
            <w:noWrap/>
            <w:vAlign w:val="center"/>
            <w:hideMark/>
          </w:tcPr>
          <w:p w:rsidR="00D60501" w:rsidRPr="0018161F" w:rsidRDefault="00D60501" w:rsidP="00C65846">
            <w:pPr>
              <w:jc w:val="center"/>
              <w:rPr>
                <w:rFonts w:asciiTheme="majorHAnsi" w:hAnsiTheme="majorHAnsi" w:cstheme="majorHAnsi"/>
                <w:color w:val="000000"/>
                <w:sz w:val="20"/>
                <w:szCs w:val="20"/>
              </w:rPr>
            </w:pPr>
            <w:r w:rsidRPr="0018161F">
              <w:rPr>
                <w:rFonts w:asciiTheme="majorHAnsi" w:hAnsiTheme="majorHAnsi" w:cstheme="majorHAnsi"/>
                <w:color w:val="000000"/>
                <w:sz w:val="20"/>
                <w:szCs w:val="20"/>
              </w:rPr>
              <w:t>62%</w:t>
            </w:r>
          </w:p>
        </w:tc>
      </w:tr>
    </w:tbl>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 Źródło: runda pilotażowa badania MLEZAMID </w:t>
      </w:r>
    </w:p>
    <w:p w:rsidR="00D60501" w:rsidRPr="0018161F" w:rsidRDefault="00D60501" w:rsidP="00D60501">
      <w:r w:rsidRPr="0018161F">
        <w:t xml:space="preserve">Wśród tych absolwentów, których pierwszy epizod pracy zakończył się przed 22 miesiącami po czerwcu 2015 r. zdecydowana większość (74%) odeszła z własnej inicjatywy. Zakończenie pracy z powodu nieprzedłużenia umowy dotyczyło 22% absolwentów, a likwidacja stanowiska ok 4% absolwentów. </w:t>
      </w:r>
    </w:p>
    <w:p w:rsidR="00D60501" w:rsidRPr="0018161F" w:rsidRDefault="00D60501" w:rsidP="00D60501">
      <w:r w:rsidRPr="0018161F">
        <w:t xml:space="preserve">Zdecydowana większość ankietowanych absolwentów znalazła pierwszą pracę po co najwyżej miesiącu poszukiwań, w tym większość deklarowała, że znalazła pierwszą pracę „od ręki”.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drawing>
          <wp:anchor distT="0" distB="0" distL="114300" distR="114300" simplePos="0" relativeHeight="251664384" behindDoc="0" locked="0" layoutInCell="1" allowOverlap="1" wp14:anchorId="56C6D8D2" wp14:editId="2578D8AB">
            <wp:simplePos x="0" y="0"/>
            <wp:positionH relativeFrom="column">
              <wp:posOffset>121920</wp:posOffset>
            </wp:positionH>
            <wp:positionV relativeFrom="paragraph">
              <wp:posOffset>267970</wp:posOffset>
            </wp:positionV>
            <wp:extent cx="4067810" cy="1616075"/>
            <wp:effectExtent l="0" t="0" r="0" b="9525"/>
            <wp:wrapTopAndBottom/>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7810" cy="1616075"/>
                    </a:xfrm>
                    <a:prstGeom prst="rect">
                      <a:avLst/>
                    </a:prstGeom>
                  </pic:spPr>
                </pic:pic>
              </a:graphicData>
            </a:graphic>
            <wp14:sizeRelH relativeFrom="margin">
              <wp14:pctWidth>0</wp14:pctWidth>
            </wp14:sizeRelH>
            <wp14:sizeRelV relativeFrom="margin">
              <wp14:pctHeight>0</wp14:pctHeight>
            </wp14:sizeRelV>
          </wp:anchor>
        </w:drawing>
      </w: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13</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Okres poszukiwania pierwszej pracy – kategorie absolwentów</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r w:rsidRPr="0018161F">
        <w:t xml:space="preserve">Absolwenci, którzy kształcili się w zawodach z obszarów elektroniczno-elektrycznego oraz mechaniczno-górniczego stosunkowo najczęściej (ok. 56%) znajdywali zatrudnienie od ręki. Nieco większe problemy ze znalezieniem pierwszej pracy mieli absolwenci kierunków administracyjno-usługowych – ponad połowa (55%) z nich szukała pierwszej pracy przez co najmniej miesiąc. </w:t>
      </w:r>
    </w:p>
    <w:p w:rsidR="00D60501" w:rsidRPr="0018161F" w:rsidRDefault="00D60501" w:rsidP="00D60501">
      <w:r w:rsidRPr="0018161F">
        <w:t xml:space="preserve">Część z respondentów pracowała już w trakcie kończenia nauki w szkole ponadgimnazjalnej, w której prowadzono badanie w czerwcu 2015 r. Dynamika znajdowania pracy jest największa </w:t>
      </w:r>
      <w:r w:rsidRPr="0018161F">
        <w:lastRenderedPageBreak/>
        <w:t>w pierwszych 5 miesiącach po zakończeniu nauki, zwłaszcza wśród absolwentów zasadniczych szkół zawodowych i techników, którzy nie kontynuują nauki. Bardziej rozłożone w czasie jest zdobywanie pierwszych doświadczeń zawodowych wśród absolwentów kontynuujących naukę.</w:t>
      </w:r>
    </w:p>
    <w:p w:rsidR="00D60501" w:rsidRPr="0018161F" w:rsidRDefault="00D60501" w:rsidP="00D60501">
      <w:pPr>
        <w:rPr>
          <w:sz w:val="20"/>
          <w:szCs w:val="20"/>
        </w:rPr>
      </w:pP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14</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Moment rozpoczęcia pracy, w której absolwenci pracowali w czerwcu 2015 r. lub którą podjęli po czerwcu 2015 r.</w:t>
      </w:r>
    </w:p>
    <w:p w:rsidR="00D60501" w:rsidRPr="0018161F" w:rsidRDefault="00D60501" w:rsidP="00D60501">
      <w:r w:rsidRPr="0018161F">
        <w:rPr>
          <w:noProof/>
        </w:rPr>
        <w:drawing>
          <wp:inline distT="0" distB="0" distL="0" distR="0" wp14:anchorId="281CCC93" wp14:editId="73E0DC92">
            <wp:extent cx="5399405" cy="1341528"/>
            <wp:effectExtent l="0" t="0" r="10795" b="5080"/>
            <wp:docPr id="73" name="Wykres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0501" w:rsidRPr="0018161F" w:rsidRDefault="00D60501" w:rsidP="00D60501">
      <w:r w:rsidRPr="0018161F">
        <w:rPr>
          <w:noProof/>
        </w:rPr>
        <w:drawing>
          <wp:inline distT="0" distB="0" distL="0" distR="0" wp14:anchorId="147ABD96" wp14:editId="43C7D060">
            <wp:extent cx="5399405" cy="1380562"/>
            <wp:effectExtent l="0" t="0" r="10795" b="16510"/>
            <wp:docPr id="74" name="Wykres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r w:rsidRPr="0018161F">
        <w:t xml:space="preserve">Jak wspomniano wcześniej, większość absolwentów rozpoczynała karierę zawodową na podstawie umowy o pracę. Najwyższy odsetek rozpoczynających kariery zawodowe na podstawie umów o pracę zarejestrowano wśród absolwentów ZSZ, którzy są nieaktywni edukacyjnie. W tej grupie zanotowano również wysoki udział pracujących na czarno (8%).  Z kolei w przypadku osób kontynuujących naukę, zarówno absolwentów techników, jak i ZSZ,  częstsza jest praktyka zatrudniania się na podstawie umów cywilno-prawnych. Obserwacja ta nie dziwi, zważywszy na fakt, iż w przypadku osób do 26 roku życia, które wciąż się uczą, pracodawca nie ma obowiązku odprowadzania składek społecznych i zdrowotnych od umowy zlecenia/o dzieło, co dla zatrudnionych może wiązać się z wyższymi zarobkami netto.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lastRenderedPageBreak/>
        <w:drawing>
          <wp:anchor distT="0" distB="0" distL="114300" distR="114300" simplePos="0" relativeHeight="251662336" behindDoc="0" locked="0" layoutInCell="1" allowOverlap="1" wp14:anchorId="6391C525" wp14:editId="6A450736">
            <wp:simplePos x="0" y="0"/>
            <wp:positionH relativeFrom="column">
              <wp:posOffset>219710</wp:posOffset>
            </wp:positionH>
            <wp:positionV relativeFrom="paragraph">
              <wp:posOffset>273685</wp:posOffset>
            </wp:positionV>
            <wp:extent cx="4066540" cy="2096770"/>
            <wp:effectExtent l="0" t="0" r="0" b="11430"/>
            <wp:wrapTopAndBottom/>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6540" cy="2096770"/>
                    </a:xfrm>
                    <a:prstGeom prst="rect">
                      <a:avLst/>
                    </a:prstGeom>
                  </pic:spPr>
                </pic:pic>
              </a:graphicData>
            </a:graphic>
            <wp14:sizeRelH relativeFrom="margin">
              <wp14:pctWidth>0</wp14:pctWidth>
            </wp14:sizeRelH>
            <wp14:sizeRelV relativeFrom="margin">
              <wp14:pctHeight>0</wp14:pctHeight>
            </wp14:sizeRelV>
          </wp:anchor>
        </w:drawing>
      </w: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15</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Podstawa zatrudnienia w pierwszej pracy – kategorie absolwentów</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p w:rsidR="00D60501" w:rsidRPr="0018161F" w:rsidRDefault="00D60501" w:rsidP="00D60501">
      <w:r w:rsidRPr="0018161F">
        <w:t xml:space="preserve">Przeciętne zarobki badanych absolwentów w pierwszej pracy oscylowały wokół 1850 złotych (mediana), były nieco wyższe w przypadku osób, które już nie kontynuowały nauki. Rozkłady zarobków absolwentów techników i ZSZ, w szczególności osób, które zakończyły już edukację, charakteryzują się dużą rozpiętością – od kilkudziesięciu złotych do nawet 12 000 PLN.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drawing>
          <wp:anchor distT="0" distB="0" distL="114300" distR="114300" simplePos="0" relativeHeight="251669504" behindDoc="0" locked="0" layoutInCell="1" allowOverlap="1" wp14:anchorId="75329C99" wp14:editId="31AE8EB2">
            <wp:simplePos x="0" y="0"/>
            <wp:positionH relativeFrom="column">
              <wp:posOffset>5715</wp:posOffset>
            </wp:positionH>
            <wp:positionV relativeFrom="paragraph">
              <wp:posOffset>327025</wp:posOffset>
            </wp:positionV>
            <wp:extent cx="5399405" cy="2341245"/>
            <wp:effectExtent l="0" t="0" r="10795" b="0"/>
            <wp:wrapTopAndBottom/>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9405" cy="2341245"/>
                    </a:xfrm>
                    <a:prstGeom prst="rect">
                      <a:avLst/>
                    </a:prstGeom>
                  </pic:spPr>
                </pic:pic>
              </a:graphicData>
            </a:graphic>
          </wp:anchor>
        </w:drawing>
      </w: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16</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Rozkłady zarobków w pierwszej pracy dla poszczególnych kategorii absolwentów</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Wykres pudełkowy przedstawia 5 i 95 </w:t>
      </w:r>
      <w:proofErr w:type="spellStart"/>
      <w:r w:rsidRPr="0018161F">
        <w:rPr>
          <w:rFonts w:eastAsiaTheme="minorHAnsi" w:cstheme="minorBidi"/>
          <w:i/>
          <w:iCs/>
          <w:color w:val="44546A" w:themeColor="text2"/>
          <w:sz w:val="20"/>
          <w:szCs w:val="18"/>
          <w:lang w:eastAsia="en-US"/>
        </w:rPr>
        <w:t>percentyl</w:t>
      </w:r>
      <w:proofErr w:type="spellEnd"/>
      <w:r w:rsidRPr="0018161F">
        <w:rPr>
          <w:rFonts w:eastAsiaTheme="minorHAnsi" w:cstheme="minorBidi"/>
          <w:i/>
          <w:iCs/>
          <w:color w:val="44546A" w:themeColor="text2"/>
          <w:sz w:val="20"/>
          <w:szCs w:val="18"/>
          <w:lang w:eastAsia="en-US"/>
        </w:rPr>
        <w:t xml:space="preserve"> (oznaczone za pomocą wąsów) zarobków w danej kategorii. Górna krawędź pudełka reprezentuje 3 </w:t>
      </w:r>
      <w:proofErr w:type="spellStart"/>
      <w:r w:rsidRPr="0018161F">
        <w:rPr>
          <w:rFonts w:eastAsiaTheme="minorHAnsi" w:cstheme="minorBidi"/>
          <w:i/>
          <w:iCs/>
          <w:color w:val="44546A" w:themeColor="text2"/>
          <w:sz w:val="20"/>
          <w:szCs w:val="18"/>
          <w:lang w:eastAsia="en-US"/>
        </w:rPr>
        <w:t>kwartyl</w:t>
      </w:r>
      <w:proofErr w:type="spellEnd"/>
      <w:r w:rsidRPr="0018161F">
        <w:rPr>
          <w:rFonts w:eastAsiaTheme="minorHAnsi" w:cstheme="minorBidi"/>
          <w:i/>
          <w:iCs/>
          <w:color w:val="44546A" w:themeColor="text2"/>
          <w:sz w:val="20"/>
          <w:szCs w:val="18"/>
          <w:lang w:eastAsia="en-US"/>
        </w:rPr>
        <w:t xml:space="preserve">, dolna krawędź 1 </w:t>
      </w:r>
      <w:proofErr w:type="spellStart"/>
      <w:r w:rsidRPr="0018161F">
        <w:rPr>
          <w:rFonts w:eastAsiaTheme="minorHAnsi" w:cstheme="minorBidi"/>
          <w:i/>
          <w:iCs/>
          <w:color w:val="44546A" w:themeColor="text2"/>
          <w:sz w:val="20"/>
          <w:szCs w:val="18"/>
          <w:lang w:eastAsia="en-US"/>
        </w:rPr>
        <w:t>kwartyl</w:t>
      </w:r>
      <w:proofErr w:type="spellEnd"/>
      <w:r w:rsidRPr="0018161F">
        <w:rPr>
          <w:rFonts w:eastAsiaTheme="minorHAnsi" w:cstheme="minorBidi"/>
          <w:i/>
          <w:iCs/>
          <w:color w:val="44546A" w:themeColor="text2"/>
          <w:sz w:val="20"/>
          <w:szCs w:val="18"/>
          <w:lang w:eastAsia="en-US"/>
        </w:rPr>
        <w:t xml:space="preserve"> a linia przebiegająca wewnątrz pudełka – medianę. Średnie zarobki oznaczono za pomocą punktu wraz z etykietą wartości. </w:t>
      </w:r>
    </w:p>
    <w:p w:rsidR="00D60501" w:rsidRPr="0018161F" w:rsidRDefault="00D60501" w:rsidP="00D60501">
      <w:r w:rsidRPr="0018161F">
        <w:t xml:space="preserve">Różnice w zarobkach w pierwszej pracy absolwentów zdecydowanie wyraźniej zaznaczają się w przekroju obszarów, w których kształcili się respondenci. Na najwyższe zarobki mogli liczyć </w:t>
      </w:r>
      <w:r w:rsidRPr="0018161F">
        <w:lastRenderedPageBreak/>
        <w:t xml:space="preserve">absolwenci, którzy kształcili się w zawodach z obszaru budowlanego – w tej kategorii wyraźne jest również bardzo duże zróżnicowanie wysokości wynagrodzeń. </w:t>
      </w:r>
    </w:p>
    <w:p w:rsidR="00D60501" w:rsidRPr="0018161F" w:rsidRDefault="00D60501" w:rsidP="00D60501"/>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drawing>
          <wp:anchor distT="0" distB="0" distL="114300" distR="114300" simplePos="0" relativeHeight="251670528" behindDoc="0" locked="0" layoutInCell="1" allowOverlap="1" wp14:anchorId="10A518E9" wp14:editId="28B958BF">
            <wp:simplePos x="0" y="0"/>
            <wp:positionH relativeFrom="column">
              <wp:posOffset>-12065</wp:posOffset>
            </wp:positionH>
            <wp:positionV relativeFrom="paragraph">
              <wp:posOffset>473075</wp:posOffset>
            </wp:positionV>
            <wp:extent cx="5399405" cy="2414270"/>
            <wp:effectExtent l="0" t="0" r="10795" b="0"/>
            <wp:wrapTopAndBottom/>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9405" cy="2414270"/>
                    </a:xfrm>
                    <a:prstGeom prst="rect">
                      <a:avLst/>
                    </a:prstGeom>
                  </pic:spPr>
                </pic:pic>
              </a:graphicData>
            </a:graphic>
          </wp:anchor>
        </w:drawing>
      </w: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17</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Rozkłady zarobków w pierwszej pracy dla kategorii absolwentów wyróżnionych ze względu na obszary kształcenia</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Wykres pudełkowy przedstawia 5 i 95 </w:t>
      </w:r>
      <w:proofErr w:type="spellStart"/>
      <w:r w:rsidRPr="0018161F">
        <w:rPr>
          <w:rFonts w:eastAsiaTheme="minorHAnsi" w:cstheme="minorBidi"/>
          <w:i/>
          <w:iCs/>
          <w:color w:val="44546A" w:themeColor="text2"/>
          <w:sz w:val="20"/>
          <w:szCs w:val="18"/>
          <w:lang w:eastAsia="en-US"/>
        </w:rPr>
        <w:t>percentyl</w:t>
      </w:r>
      <w:proofErr w:type="spellEnd"/>
      <w:r w:rsidRPr="0018161F">
        <w:rPr>
          <w:rFonts w:eastAsiaTheme="minorHAnsi" w:cstheme="minorBidi"/>
          <w:i/>
          <w:iCs/>
          <w:color w:val="44546A" w:themeColor="text2"/>
          <w:sz w:val="20"/>
          <w:szCs w:val="18"/>
          <w:lang w:eastAsia="en-US"/>
        </w:rPr>
        <w:t xml:space="preserve"> (oznaczone za pomocą wąsów) zarobków w danej kategorii. Górna krawędź pudełka reprezentuje 3 </w:t>
      </w:r>
      <w:proofErr w:type="spellStart"/>
      <w:r w:rsidRPr="0018161F">
        <w:rPr>
          <w:rFonts w:eastAsiaTheme="minorHAnsi" w:cstheme="minorBidi"/>
          <w:i/>
          <w:iCs/>
          <w:color w:val="44546A" w:themeColor="text2"/>
          <w:sz w:val="20"/>
          <w:szCs w:val="18"/>
          <w:lang w:eastAsia="en-US"/>
        </w:rPr>
        <w:t>kwartyl</w:t>
      </w:r>
      <w:proofErr w:type="spellEnd"/>
      <w:r w:rsidRPr="0018161F">
        <w:rPr>
          <w:rFonts w:eastAsiaTheme="minorHAnsi" w:cstheme="minorBidi"/>
          <w:i/>
          <w:iCs/>
          <w:color w:val="44546A" w:themeColor="text2"/>
          <w:sz w:val="20"/>
          <w:szCs w:val="18"/>
          <w:lang w:eastAsia="en-US"/>
        </w:rPr>
        <w:t xml:space="preserve">, dolna krawędź 1 </w:t>
      </w:r>
      <w:proofErr w:type="spellStart"/>
      <w:r w:rsidRPr="0018161F">
        <w:rPr>
          <w:rFonts w:eastAsiaTheme="minorHAnsi" w:cstheme="minorBidi"/>
          <w:i/>
          <w:iCs/>
          <w:color w:val="44546A" w:themeColor="text2"/>
          <w:sz w:val="20"/>
          <w:szCs w:val="18"/>
          <w:lang w:eastAsia="en-US"/>
        </w:rPr>
        <w:t>kwartyl</w:t>
      </w:r>
      <w:proofErr w:type="spellEnd"/>
      <w:r w:rsidRPr="0018161F">
        <w:rPr>
          <w:rFonts w:eastAsiaTheme="minorHAnsi" w:cstheme="minorBidi"/>
          <w:i/>
          <w:iCs/>
          <w:color w:val="44546A" w:themeColor="text2"/>
          <w:sz w:val="20"/>
          <w:szCs w:val="18"/>
          <w:lang w:eastAsia="en-US"/>
        </w:rPr>
        <w:t xml:space="preserve"> a linia przebiegająca wewnątrz pudełka – medianę. Średnie zarobki oznaczono za pomocą punktu wraz z etykietą wartości. </w:t>
      </w:r>
    </w:p>
    <w:p w:rsidR="00D60501" w:rsidRPr="0018161F" w:rsidRDefault="00D60501" w:rsidP="00D60501">
      <w:r w:rsidRPr="0018161F">
        <w:t>Nieco ponad 70% absolwentów dojeżdżało do swojej pierwszej pracy z domu rodzinnego, niemal 21% nie mieszkało już w tym czasie z rodzicami. Około 8% badanych rozpoczęło swoją karierę zawodową za granicą. Najczęściej pracę za granicą podejmowali absolwenci kierunków budowlanych (16% osób podejmujących pierwszą pracę za granicą). Większość absolwentów podejmujących pierwszą pracę za granicą decydowała się na wyjazd do Niemiec, Holandii lub Belgii. Wśród absolwentów techników dominowały dwa kierunki wyjazdów: do Wielkiej Brytanii i Irlandii oraz Belgii i Holandii. Z kolei absolwenci ZSZ wyraźnie częściej wyjeżdżali do pracy do Niemiec.</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18</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noProof/>
          <w:color w:val="44546A" w:themeColor="text2"/>
          <w:sz w:val="20"/>
          <w:szCs w:val="18"/>
        </w:rPr>
        <w:drawing>
          <wp:anchor distT="0" distB="0" distL="114300" distR="114300" simplePos="0" relativeHeight="251663360" behindDoc="0" locked="0" layoutInCell="1" allowOverlap="1" wp14:anchorId="698E5068" wp14:editId="13AF8864">
            <wp:simplePos x="0" y="0"/>
            <wp:positionH relativeFrom="column">
              <wp:posOffset>66675</wp:posOffset>
            </wp:positionH>
            <wp:positionV relativeFrom="paragraph">
              <wp:posOffset>358775</wp:posOffset>
            </wp:positionV>
            <wp:extent cx="4393565" cy="2512695"/>
            <wp:effectExtent l="0" t="0" r="635" b="1905"/>
            <wp:wrapTopAndBottom/>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3565" cy="2512695"/>
                    </a:xfrm>
                    <a:prstGeom prst="rect">
                      <a:avLst/>
                    </a:prstGeom>
                  </pic:spPr>
                </pic:pic>
              </a:graphicData>
            </a:graphic>
            <wp14:sizeRelH relativeFrom="margin">
              <wp14:pctWidth>0</wp14:pctWidth>
            </wp14:sizeRelH>
            <wp14:sizeRelV relativeFrom="margin">
              <wp14:pctHeight>0</wp14:pctHeight>
            </wp14:sizeRelV>
          </wp:anchor>
        </w:drawing>
      </w:r>
      <w:r w:rsidRPr="0018161F">
        <w:rPr>
          <w:rFonts w:eastAsiaTheme="minorHAnsi" w:cstheme="minorBidi"/>
          <w:i/>
          <w:iCs/>
          <w:color w:val="44546A" w:themeColor="text2"/>
          <w:sz w:val="20"/>
          <w:szCs w:val="18"/>
          <w:lang w:eastAsia="en-US"/>
        </w:rPr>
        <w:t xml:space="preserve"> Kierunki wyjazdów wśród osób podejmujących pierwszą pracę za granicą</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pPr>
        <w:rPr>
          <w:lang w:eastAsia="pt-PT"/>
        </w:rPr>
      </w:pPr>
    </w:p>
    <w:p w:rsidR="00D60501" w:rsidRPr="0018161F" w:rsidRDefault="00D60501" w:rsidP="00D60501">
      <w:pPr>
        <w:keepNext/>
        <w:keepLines/>
        <w:spacing w:before="40"/>
        <w:outlineLvl w:val="2"/>
        <w:rPr>
          <w:rFonts w:eastAsiaTheme="majorEastAsia" w:cstheme="majorBidi"/>
          <w:b/>
          <w:i/>
          <w:color w:val="000000" w:themeColor="text1"/>
        </w:rPr>
      </w:pPr>
      <w:bookmarkStart w:id="6" w:name="_Toc529951299"/>
      <w:r w:rsidRPr="0018161F">
        <w:rPr>
          <w:rFonts w:eastAsiaTheme="majorEastAsia" w:cstheme="majorBidi"/>
          <w:b/>
          <w:i/>
          <w:color w:val="000000" w:themeColor="text1"/>
        </w:rPr>
        <w:t>Zgodność pierwszej pracy z wykształceniem i satysfakcja z zatrudnienia</w:t>
      </w:r>
      <w:bookmarkEnd w:id="6"/>
      <w:r w:rsidRPr="0018161F">
        <w:rPr>
          <w:rFonts w:eastAsiaTheme="majorEastAsia" w:cstheme="majorBidi"/>
          <w:b/>
          <w:i/>
          <w:color w:val="000000" w:themeColor="text1"/>
        </w:rPr>
        <w:t xml:space="preserve"> </w:t>
      </w:r>
    </w:p>
    <w:p w:rsidR="00D60501" w:rsidRPr="0018161F" w:rsidRDefault="00D60501" w:rsidP="00D60501"/>
    <w:p w:rsidR="00D60501" w:rsidRPr="0018161F" w:rsidRDefault="00D60501" w:rsidP="00D60501">
      <w:r w:rsidRPr="0018161F">
        <w:t>Zrealizowane badanie sondażowe dostarczyło również informacji o zgodności pierwszej pracy absolwentów z ich wykształceniem. Spośród wszystkich badanych, którzy mieli jakiekolwiek doświadczenia zawodowe, 37% podjęło pracę w zawodzie zgodnym z kwalifikacjami uzyskanymi w szkole. Odsetek ten jest wyraźnie wyższy w przypadku grupy absolwentów zasadniczych szkół zawodowych, którzy zakończyli już edukację – wyniósł 48%. Jeśli tej grupie uwzględnić osoby, które stwierdziły, że chociaż ich praca nie jest zgodna z zawodem wyuczonym w szkole, to jednak wymaga podobnych kwalifikacji – to odsetek absolwentów ZSZ pracujących w zawodzie wzrasta do 57%.</w:t>
      </w:r>
    </w:p>
    <w:p w:rsidR="00D60501" w:rsidRPr="0018161F" w:rsidRDefault="00D60501" w:rsidP="00D60501"/>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lastRenderedPageBreak/>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19</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noProof/>
          <w:color w:val="44546A" w:themeColor="text2"/>
          <w:sz w:val="20"/>
          <w:szCs w:val="18"/>
        </w:rPr>
        <w:drawing>
          <wp:anchor distT="0" distB="0" distL="114300" distR="114300" simplePos="0" relativeHeight="251665408" behindDoc="0" locked="0" layoutInCell="1" allowOverlap="1" wp14:anchorId="5010194D" wp14:editId="14A788ED">
            <wp:simplePos x="0" y="0"/>
            <wp:positionH relativeFrom="column">
              <wp:posOffset>179070</wp:posOffset>
            </wp:positionH>
            <wp:positionV relativeFrom="paragraph">
              <wp:posOffset>399415</wp:posOffset>
            </wp:positionV>
            <wp:extent cx="3914775" cy="2223770"/>
            <wp:effectExtent l="0" t="0" r="0" b="11430"/>
            <wp:wrapTopAndBottom/>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14775" cy="2223770"/>
                    </a:xfrm>
                    <a:prstGeom prst="rect">
                      <a:avLst/>
                    </a:prstGeom>
                  </pic:spPr>
                </pic:pic>
              </a:graphicData>
            </a:graphic>
            <wp14:sizeRelH relativeFrom="margin">
              <wp14:pctWidth>0</wp14:pctWidth>
            </wp14:sizeRelH>
            <wp14:sizeRelV relativeFrom="margin">
              <wp14:pctHeight>0</wp14:pctHeight>
            </wp14:sizeRelV>
          </wp:anchor>
        </w:drawing>
      </w:r>
      <w:r w:rsidRPr="0018161F">
        <w:rPr>
          <w:rFonts w:eastAsiaTheme="minorHAnsi" w:cstheme="minorBidi"/>
          <w:i/>
          <w:iCs/>
          <w:color w:val="44546A" w:themeColor="text2"/>
          <w:sz w:val="20"/>
          <w:szCs w:val="18"/>
          <w:lang w:eastAsia="en-US"/>
        </w:rPr>
        <w:t xml:space="preserve"> Zgodność pierwszej pracy z wykształceniem – kategorie absolwentów</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r w:rsidRPr="0018161F">
        <w:t xml:space="preserve">Absolwenci ZSZ, którzy kontynuują naukę w szkołach dla dorosłych nieco rzadziej deklarowali pełną zgodność pracy z wyuczonym zawodem (38%) – jednocześnie w przypadku tej kategorii zwraca uwagę spory odsetek osób, które odpowiedziały, że w ich pracy nie jest ważne, jakie mają wykształcenie. </w:t>
      </w:r>
    </w:p>
    <w:p w:rsidR="00D60501" w:rsidRPr="0018161F" w:rsidRDefault="00D60501" w:rsidP="00D60501">
      <w:r w:rsidRPr="0018161F">
        <w:t xml:space="preserve">Sytuacja ta kształtuje się zgoła inaczej w przypadku absolwentów techników. Odsetek pracujących w wyuczonym zawodzie jest wśród nich wyraźnie niższy niż zaobserwowano to w przypadku uczniów kończących zasadnicze szkoły zawodowe. Dotyczy to przede wszystkim udziału osób deklarujących pełną zgodność zawodu wykonywanego z zawodem wyuczonym (nieco poniżej 1/3 badanych). Jeżeli uwzględnimy osoby, których pierwsza praca wymagała podobnych kwalifikacji do zdobytych w szkole, odsetek absolwentów pracujących w zawodzie zbliża się do poziomu zaobserwowanego w przypadku absolwentów ZSZ (45%). Co ciekawe, wśród absolwentów techników generalnie nie widać istotnych różnic między osobami, które kontynuują edukację a niekontynuującymi jej. Niezależnie od sytuacji zawodowej, aż 40% absolwentów techników uzyskuje pierwszą pracę, która wymaga zupełnie innych umiejętności i wiedzy niż zdobyte w szkole. Interesująco przedstawia się zgodność pracy z wyuczonym zawodem ze względu na obszar kształcenia absolwentów.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lastRenderedPageBreak/>
        <w:drawing>
          <wp:anchor distT="0" distB="0" distL="114300" distR="114300" simplePos="0" relativeHeight="251666432" behindDoc="0" locked="0" layoutInCell="1" allowOverlap="1" wp14:anchorId="7A3C996D" wp14:editId="01D6E6AF">
            <wp:simplePos x="0" y="0"/>
            <wp:positionH relativeFrom="column">
              <wp:posOffset>106045</wp:posOffset>
            </wp:positionH>
            <wp:positionV relativeFrom="paragraph">
              <wp:posOffset>345440</wp:posOffset>
            </wp:positionV>
            <wp:extent cx="4220210" cy="1567815"/>
            <wp:effectExtent l="0" t="0" r="0" b="6985"/>
            <wp:wrapTopAndBottom/>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0210" cy="1567815"/>
                    </a:xfrm>
                    <a:prstGeom prst="rect">
                      <a:avLst/>
                    </a:prstGeom>
                  </pic:spPr>
                </pic:pic>
              </a:graphicData>
            </a:graphic>
            <wp14:sizeRelH relativeFrom="margin">
              <wp14:pctWidth>0</wp14:pctWidth>
            </wp14:sizeRelH>
            <wp14:sizeRelV relativeFrom="margin">
              <wp14:pctHeight>0</wp14:pctHeight>
            </wp14:sizeRelV>
          </wp:anchor>
        </w:drawing>
      </w: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20</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Zgodność pierwszej pracy z wykształceniem – kategorie absolwentów</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r w:rsidRPr="0018161F">
        <w:t xml:space="preserve">Zaskakuje fakt, iż tylko 1/3 absolwentów, którzy uzyskali kwalifikacje w obszarach elektroniczno-elektrycznym i mechaniczno-górniczym podejmuje pierwszą pracę, która dokładnie odpowiada wyuczonemu zawodowi. Niemniej, jeśli uwzględnić osoby, których praca wymagała generalnie podobnych kwalifikacji i umiejętności do tych wyuczonych w szkole (16%), to absolwenci tego obszaru przestają tak wyraźnie odstawać na tle pozostałych kategorii wyróżnionych ze względu na obszar kształcenia. Wysoki poziom dopasowania uzyskanego wykształcenia zawodowego do charakteru podejmowanej pracy charakteryzuje natomiast absolwentów kierunków z obszaru budowlanego (40%) i administracyjno-usługowego (43%). Są to jednak zarazem obszary, w których najwyższy odsetek pracujących absolwentów zadeklarował, iż w ich pracy nie ma znaczenia, jakie mają wykształcenie. </w:t>
      </w:r>
    </w:p>
    <w:p w:rsidR="00D60501" w:rsidRPr="0018161F" w:rsidRDefault="00D60501" w:rsidP="00D60501">
      <w:r w:rsidRPr="0018161F">
        <w:t>Różnice można też zilustrować przyglądając się poszczególnym zawodom. Zwracają przede wszystkim różnice w odsetku osób, które twierdzą, że posiadane przez nich wykształcenie nie ma znaczenia w wykonywanej przez nich pracy. Takich osób jest niewiele w zawodach gastronomicznych i relatywnie dużo wśród techników hotelarstwa czy techników ekonomistów. Te odpowiedzi mogą świadczyć o niedopasowaniu popytu i podaży na rynku pracy. Aż połowa techników informatyków wybrała odpowiedź, że wykonywana przez nich praca wymaga zupełnie innej wiedzy i umiejętności – najczęściej wiąże się to z wykonywaniem prac technicznych nie związanych bezpośrednio z informatyką.</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lastRenderedPageBreak/>
        <w:drawing>
          <wp:anchor distT="0" distB="0" distL="114300" distR="114300" simplePos="0" relativeHeight="251671552" behindDoc="0" locked="0" layoutInCell="1" allowOverlap="1" wp14:anchorId="2C5C7342" wp14:editId="71BE80D8">
            <wp:simplePos x="0" y="0"/>
            <wp:positionH relativeFrom="column">
              <wp:posOffset>4851</wp:posOffset>
            </wp:positionH>
            <wp:positionV relativeFrom="paragraph">
              <wp:posOffset>314393</wp:posOffset>
            </wp:positionV>
            <wp:extent cx="5608320" cy="2895600"/>
            <wp:effectExtent l="0" t="0" r="5080" b="0"/>
            <wp:wrapTopAndBottom/>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0832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21</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Zgodność pierwszej pracy z wykształceniem – wybrane zawody</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t>
      </w:r>
    </w:p>
    <w:p w:rsidR="00D60501" w:rsidRPr="0018161F" w:rsidRDefault="00D60501" w:rsidP="00D60501">
      <w:r w:rsidRPr="0018161F">
        <w:t xml:space="preserve">Ankietowanych absolwentów poproszono o dokonanie oceny ich pierwszej pracy w kilku wymiarach. Posługując się 6-stopniową, szkolną skalą (od 1 – niedostateczny do 6 – celujący) oceniali na ile praca odpowiada ich oczekiwaniom – ze względu na poziom zarobków, ze względu na atmosferę w pracy, ilość obowiązków, możliwości awansu, elastyczność godzin pracy i możliwości rozwoju kariery. Zebrane oceny okazały się raczej krytyczne – badani najczęściej posługiwali się środkiem skali – średnia ocena stopnia, w jakim praca odpowiada ogólnym oczekiwaniom absolwentów, wyniosła 3,5 (N=1550, </w:t>
      </w:r>
      <w:proofErr w:type="spellStart"/>
      <w:r w:rsidRPr="0018161F">
        <w:t>std</w:t>
      </w:r>
      <w:proofErr w:type="spellEnd"/>
      <w:r w:rsidRPr="0018161F">
        <w:t xml:space="preserve">=1,13). Co ciekawe, najlepiej swoją pracę oceniali absolwenci techników, którzy kontynuują naukę – dotyczy to zarówno ogólnego spełnienia ich oczekiwań wobec pracodawcy, ale również możliwości rozwoju kariery i awansu, atmosfery w pracy, ilości obowiązków i zarobków. Wbrew pozorom, oceny absolwentów ZSZ i techników, którzy ukończyli już naukę były do siebie bardzo zbliżone – absolwenci ZSZ oceniali lepiej jedynie elastyczność godzin pracy.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lastRenderedPageBreak/>
        <w:drawing>
          <wp:anchor distT="0" distB="0" distL="114300" distR="114300" simplePos="0" relativeHeight="251667456" behindDoc="0" locked="0" layoutInCell="1" allowOverlap="1" wp14:anchorId="3461D575" wp14:editId="2846AE11">
            <wp:simplePos x="0" y="0"/>
            <wp:positionH relativeFrom="column">
              <wp:posOffset>157480</wp:posOffset>
            </wp:positionH>
            <wp:positionV relativeFrom="paragraph">
              <wp:posOffset>286385</wp:posOffset>
            </wp:positionV>
            <wp:extent cx="4598035" cy="2399665"/>
            <wp:effectExtent l="0" t="0" r="0" b="0"/>
            <wp:wrapTopAndBottom/>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98035" cy="2399665"/>
                    </a:xfrm>
                    <a:prstGeom prst="rect">
                      <a:avLst/>
                    </a:prstGeom>
                  </pic:spPr>
                </pic:pic>
              </a:graphicData>
            </a:graphic>
            <wp14:sizeRelH relativeFrom="margin">
              <wp14:pctWidth>0</wp14:pctWidth>
            </wp14:sizeRelH>
            <wp14:sizeRelV relativeFrom="margin">
              <wp14:pctHeight>0</wp14:pctHeight>
            </wp14:sizeRelV>
          </wp:anchor>
        </w:drawing>
      </w: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22</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Oceny pierwszej pracy według kategorii absolwentów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Wykres radarowy przedstawia średnie ocen poziomu w jakim praca odpowiada oczekiwaniom respondentów w poszczególnych wymiarach. Ocen dokonywano na skali 6 stopniowej, gdzie 1 – oznaczało oceną niedostateczną a 6 celującą stopnia w jakim praca odpowiada oczekiwaniom absolwenta. </w:t>
      </w:r>
    </w:p>
    <w:p w:rsidR="00D60501" w:rsidRPr="0018161F" w:rsidRDefault="00D60501" w:rsidP="00D60501">
      <w:r w:rsidRPr="0018161F">
        <w:t xml:space="preserve">Oceny pierwszej pracy układają się w dość wyraźną hierarchię: najmniej satysfakcjonująca okazała się praca podejmowana przez absolwentów kierunków z obszaru budowlanego. To ciekawy wniosek, zważywszy, iż absolwenci z tego obszaru najniżej oceniali swój poziom zarobków, choć w tej grupie mogli liczyć średnio na najwyższe wynagrodzenia. W grupie absolwentów kierunków budowlanych zaobserwowano również największe zróżnicowanie wynagrodzeń, co może sugerować rolę mechanizmu relatywnej deprywacji w kształtowaniu ich oczekiwań zarobkowych i związanych z nimi ocen. Wśród osób podejmujących pierwszą pracę, najbardziej ze swojej pierwszej pracy byli zadowoleni absolwenci z obszarów elektroniczno-elektrycznych, mechaniczno-górniczych oraz administracyjno-usługowych.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noProof/>
          <w:color w:val="44546A" w:themeColor="text2"/>
          <w:sz w:val="20"/>
          <w:szCs w:val="18"/>
        </w:rPr>
        <w:lastRenderedPageBreak/>
        <w:drawing>
          <wp:anchor distT="0" distB="0" distL="114300" distR="114300" simplePos="0" relativeHeight="251668480" behindDoc="0" locked="0" layoutInCell="1" allowOverlap="1" wp14:anchorId="3A907D5F" wp14:editId="54266C05">
            <wp:simplePos x="0" y="0"/>
            <wp:positionH relativeFrom="column">
              <wp:posOffset>-50165</wp:posOffset>
            </wp:positionH>
            <wp:positionV relativeFrom="paragraph">
              <wp:posOffset>326390</wp:posOffset>
            </wp:positionV>
            <wp:extent cx="5399405" cy="3268345"/>
            <wp:effectExtent l="0" t="0" r="10795" b="8255"/>
            <wp:wrapTopAndBottom/>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99405" cy="3268345"/>
                    </a:xfrm>
                    <a:prstGeom prst="rect">
                      <a:avLst/>
                    </a:prstGeom>
                  </pic:spPr>
                </pic:pic>
              </a:graphicData>
            </a:graphic>
          </wp:anchor>
        </w:drawing>
      </w:r>
      <w:r w:rsidRPr="0018161F">
        <w:rPr>
          <w:rFonts w:eastAsiaTheme="minorHAnsi" w:cstheme="minorBidi"/>
          <w:i/>
          <w:iCs/>
          <w:color w:val="44546A" w:themeColor="text2"/>
          <w:sz w:val="20"/>
          <w:szCs w:val="18"/>
          <w:lang w:eastAsia="en-US"/>
        </w:rPr>
        <w:t xml:space="preserve">Wykres </w:t>
      </w:r>
      <w:r w:rsidRPr="0018161F">
        <w:rPr>
          <w:rFonts w:eastAsiaTheme="minorHAnsi" w:cstheme="minorBidi"/>
          <w:i/>
          <w:iCs/>
          <w:noProof/>
          <w:color w:val="44546A" w:themeColor="text2"/>
          <w:sz w:val="20"/>
          <w:szCs w:val="18"/>
          <w:lang w:eastAsia="en-US"/>
        </w:rPr>
        <w:fldChar w:fldCharType="begin"/>
      </w:r>
      <w:r w:rsidRPr="0018161F">
        <w:rPr>
          <w:rFonts w:eastAsiaTheme="minorHAnsi" w:cstheme="minorBidi"/>
          <w:i/>
          <w:iCs/>
          <w:noProof/>
          <w:color w:val="44546A" w:themeColor="text2"/>
          <w:sz w:val="20"/>
          <w:szCs w:val="18"/>
          <w:lang w:eastAsia="en-US"/>
        </w:rPr>
        <w:instrText xml:space="preserve"> SEQ Wykres \* ARABIC </w:instrText>
      </w:r>
      <w:r w:rsidRPr="0018161F">
        <w:rPr>
          <w:rFonts w:eastAsiaTheme="minorHAnsi" w:cstheme="minorBidi"/>
          <w:i/>
          <w:iCs/>
          <w:noProof/>
          <w:color w:val="44546A" w:themeColor="text2"/>
          <w:sz w:val="20"/>
          <w:szCs w:val="18"/>
          <w:lang w:eastAsia="en-US"/>
        </w:rPr>
        <w:fldChar w:fldCharType="separate"/>
      </w:r>
      <w:r>
        <w:rPr>
          <w:rFonts w:eastAsiaTheme="minorHAnsi" w:cstheme="minorBidi"/>
          <w:i/>
          <w:iCs/>
          <w:noProof/>
          <w:color w:val="44546A" w:themeColor="text2"/>
          <w:sz w:val="20"/>
          <w:szCs w:val="18"/>
          <w:lang w:eastAsia="en-US"/>
        </w:rPr>
        <w:t>23</w:t>
      </w:r>
      <w:r w:rsidRPr="0018161F">
        <w:rPr>
          <w:rFonts w:eastAsiaTheme="minorHAnsi" w:cstheme="minorBidi"/>
          <w:i/>
          <w:iCs/>
          <w:noProof/>
          <w:color w:val="44546A" w:themeColor="text2"/>
          <w:sz w:val="20"/>
          <w:szCs w:val="18"/>
          <w:lang w:eastAsia="en-US"/>
        </w:rPr>
        <w:fldChar w:fldCharType="end"/>
      </w:r>
      <w:r w:rsidRPr="0018161F">
        <w:rPr>
          <w:rFonts w:eastAsiaTheme="minorHAnsi" w:cstheme="minorBidi"/>
          <w:i/>
          <w:iCs/>
          <w:color w:val="44546A" w:themeColor="text2"/>
          <w:sz w:val="20"/>
          <w:szCs w:val="18"/>
          <w:lang w:eastAsia="en-US"/>
        </w:rPr>
        <w:t xml:space="preserve"> Oceny pierwszej pracy według obszaru kształcenia absolwentów </w:t>
      </w:r>
    </w:p>
    <w:p w:rsidR="00D60501" w:rsidRPr="0018161F" w:rsidRDefault="00D60501" w:rsidP="00D60501">
      <w:pPr>
        <w:spacing w:after="200"/>
        <w:rPr>
          <w:rFonts w:eastAsiaTheme="minorHAnsi" w:cstheme="minorBidi"/>
          <w:i/>
          <w:iCs/>
          <w:color w:val="44546A" w:themeColor="text2"/>
          <w:sz w:val="20"/>
          <w:szCs w:val="18"/>
          <w:lang w:eastAsia="en-US"/>
        </w:rPr>
      </w:pPr>
      <w:r w:rsidRPr="0018161F">
        <w:rPr>
          <w:rFonts w:eastAsiaTheme="minorHAnsi" w:cstheme="minorBidi"/>
          <w:i/>
          <w:iCs/>
          <w:color w:val="44546A" w:themeColor="text2"/>
          <w:sz w:val="20"/>
          <w:szCs w:val="18"/>
          <w:lang w:eastAsia="en-US"/>
        </w:rPr>
        <w:t xml:space="preserve">Źródło: runda pilotażowa badania MLEZAMID. Wykres radarowy przedstawia średnie ocen poziomu w jakim praca odpowiada oczekiwaniom respondentów w poszczególnych wymiarach. Ocen dokonywano na skali 6 stopniowej, gdzie 1 – oznaczało oceną </w:t>
      </w:r>
    </w:p>
    <w:p w:rsidR="00D60501" w:rsidRPr="0018161F" w:rsidRDefault="00D60501" w:rsidP="00D60501"/>
    <w:p w:rsidR="00D60501" w:rsidRPr="0018161F" w:rsidRDefault="00D60501" w:rsidP="00D60501">
      <w:pPr>
        <w:rPr>
          <w:rFonts w:asciiTheme="majorHAnsi" w:hAnsiTheme="majorHAnsi" w:cstheme="majorHAnsi"/>
          <w:sz w:val="22"/>
          <w:szCs w:val="22"/>
        </w:rPr>
      </w:pPr>
      <w:r w:rsidRPr="0018161F">
        <w:rPr>
          <w:rFonts w:asciiTheme="majorHAnsi" w:hAnsiTheme="majorHAnsi" w:cstheme="majorHAnsi"/>
          <w:sz w:val="22"/>
          <w:szCs w:val="22"/>
        </w:rPr>
        <w:t>Bibliografia:</w:t>
      </w:r>
    </w:p>
    <w:p w:rsidR="00D60501" w:rsidRPr="0018161F" w:rsidRDefault="00D60501" w:rsidP="00D60501">
      <w:pPr>
        <w:spacing w:line="276" w:lineRule="auto"/>
        <w:ind w:left="720" w:hanging="720"/>
        <w:rPr>
          <w:rFonts w:asciiTheme="majorHAnsi" w:eastAsiaTheme="minorHAnsi" w:hAnsiTheme="majorHAnsi" w:cstheme="majorHAnsi"/>
          <w:sz w:val="22"/>
          <w:szCs w:val="22"/>
          <w:lang w:val="en-GB" w:eastAsia="en-US"/>
        </w:rPr>
      </w:pPr>
      <w:r w:rsidRPr="0018161F">
        <w:rPr>
          <w:rFonts w:asciiTheme="majorHAnsi" w:eastAsiaTheme="minorHAnsi" w:hAnsiTheme="majorHAnsi" w:cstheme="majorHAnsi"/>
          <w:sz w:val="22"/>
          <w:szCs w:val="22"/>
          <w:lang w:val="en-GB" w:eastAsia="en-US"/>
        </w:rPr>
        <w:fldChar w:fldCharType="begin"/>
      </w:r>
      <w:r w:rsidRPr="009D53F3">
        <w:rPr>
          <w:rFonts w:asciiTheme="majorHAnsi" w:eastAsiaTheme="minorHAnsi" w:hAnsiTheme="majorHAnsi" w:cstheme="majorHAnsi"/>
          <w:sz w:val="22"/>
          <w:szCs w:val="22"/>
          <w:lang w:eastAsia="en-US"/>
        </w:rPr>
        <w:instrText xml:space="preserve"> ADDIN ZOTERO_BIBL {"uncited":[],"omitted":[],"custom":[]} CSL_BIBLIOGRAPHY </w:instrText>
      </w:r>
      <w:r w:rsidRPr="0018161F">
        <w:rPr>
          <w:rFonts w:asciiTheme="majorHAnsi" w:eastAsiaTheme="minorHAnsi" w:hAnsiTheme="majorHAnsi" w:cstheme="majorHAnsi"/>
          <w:sz w:val="22"/>
          <w:szCs w:val="22"/>
          <w:lang w:val="en-GB" w:eastAsia="en-US"/>
        </w:rPr>
        <w:fldChar w:fldCharType="separate"/>
      </w:r>
      <w:proofErr w:type="spellStart"/>
      <w:r w:rsidRPr="009D53F3">
        <w:rPr>
          <w:rFonts w:asciiTheme="majorHAnsi" w:eastAsiaTheme="minorHAnsi" w:hAnsiTheme="majorHAnsi" w:cstheme="majorHAnsi"/>
          <w:sz w:val="22"/>
          <w:szCs w:val="22"/>
          <w:lang w:eastAsia="en-US"/>
        </w:rPr>
        <w:t>Arulampalam</w:t>
      </w:r>
      <w:proofErr w:type="spellEnd"/>
      <w:r w:rsidRPr="009D53F3">
        <w:rPr>
          <w:rFonts w:asciiTheme="majorHAnsi" w:eastAsiaTheme="minorHAnsi" w:hAnsiTheme="majorHAnsi" w:cstheme="majorHAnsi"/>
          <w:sz w:val="22"/>
          <w:szCs w:val="22"/>
          <w:lang w:eastAsia="en-US"/>
        </w:rPr>
        <w:t xml:space="preserve">, W., </w:t>
      </w:r>
      <w:proofErr w:type="spellStart"/>
      <w:r w:rsidRPr="009D53F3">
        <w:rPr>
          <w:rFonts w:asciiTheme="majorHAnsi" w:eastAsiaTheme="minorHAnsi" w:hAnsiTheme="majorHAnsi" w:cstheme="majorHAnsi"/>
          <w:sz w:val="22"/>
          <w:szCs w:val="22"/>
          <w:lang w:eastAsia="en-US"/>
        </w:rPr>
        <w:t>Booth</w:t>
      </w:r>
      <w:proofErr w:type="spellEnd"/>
      <w:r w:rsidRPr="009D53F3">
        <w:rPr>
          <w:rFonts w:asciiTheme="majorHAnsi" w:eastAsiaTheme="minorHAnsi" w:hAnsiTheme="majorHAnsi" w:cstheme="majorHAnsi"/>
          <w:sz w:val="22"/>
          <w:szCs w:val="22"/>
          <w:lang w:eastAsia="en-US"/>
        </w:rPr>
        <w:t xml:space="preserve">, A. L., &amp; Taylor, M. P. (2000). </w:t>
      </w:r>
      <w:r w:rsidRPr="0018161F">
        <w:rPr>
          <w:rFonts w:asciiTheme="majorHAnsi" w:eastAsiaTheme="minorHAnsi" w:hAnsiTheme="majorHAnsi" w:cstheme="majorHAnsi"/>
          <w:sz w:val="22"/>
          <w:szCs w:val="22"/>
          <w:lang w:val="en-GB" w:eastAsia="en-US"/>
        </w:rPr>
        <w:t xml:space="preserve">Unemployment persistence. </w:t>
      </w:r>
      <w:r w:rsidRPr="0018161F">
        <w:rPr>
          <w:rFonts w:asciiTheme="majorHAnsi" w:eastAsiaTheme="minorHAnsi" w:hAnsiTheme="majorHAnsi" w:cstheme="majorHAnsi"/>
          <w:i/>
          <w:iCs/>
          <w:sz w:val="22"/>
          <w:szCs w:val="22"/>
          <w:lang w:val="en-GB" w:eastAsia="en-US"/>
        </w:rPr>
        <w:t>Oxford economic papers</w:t>
      </w:r>
      <w:r w:rsidRPr="0018161F">
        <w:rPr>
          <w:rFonts w:asciiTheme="majorHAnsi" w:eastAsiaTheme="minorHAnsi" w:hAnsiTheme="majorHAnsi" w:cstheme="majorHAnsi"/>
          <w:sz w:val="22"/>
          <w:szCs w:val="22"/>
          <w:lang w:val="en-GB" w:eastAsia="en-US"/>
        </w:rPr>
        <w:t xml:space="preserve">, </w:t>
      </w:r>
      <w:r w:rsidRPr="0018161F">
        <w:rPr>
          <w:rFonts w:asciiTheme="majorHAnsi" w:eastAsiaTheme="minorHAnsi" w:hAnsiTheme="majorHAnsi" w:cstheme="majorHAnsi"/>
          <w:i/>
          <w:iCs/>
          <w:sz w:val="22"/>
          <w:szCs w:val="22"/>
          <w:lang w:val="en-GB" w:eastAsia="en-US"/>
        </w:rPr>
        <w:t>52</w:t>
      </w:r>
      <w:r w:rsidRPr="0018161F">
        <w:rPr>
          <w:rFonts w:asciiTheme="majorHAnsi" w:eastAsiaTheme="minorHAnsi" w:hAnsiTheme="majorHAnsi" w:cstheme="majorHAnsi"/>
          <w:sz w:val="22"/>
          <w:szCs w:val="22"/>
          <w:lang w:val="en-GB" w:eastAsia="en-US"/>
        </w:rPr>
        <w:t>(1), 24–50.</w:t>
      </w:r>
    </w:p>
    <w:p w:rsidR="00D60501" w:rsidRPr="0018161F" w:rsidRDefault="00D60501" w:rsidP="00D60501">
      <w:pPr>
        <w:spacing w:line="480" w:lineRule="auto"/>
        <w:ind w:left="720" w:hanging="720"/>
        <w:rPr>
          <w:rFonts w:asciiTheme="majorHAnsi" w:eastAsiaTheme="minorHAnsi" w:hAnsiTheme="majorHAnsi" w:cstheme="majorHAnsi"/>
          <w:sz w:val="22"/>
          <w:szCs w:val="22"/>
          <w:lang w:val="en-GB" w:eastAsia="en-US"/>
        </w:rPr>
      </w:pPr>
      <w:r w:rsidRPr="0018161F">
        <w:rPr>
          <w:rFonts w:asciiTheme="majorHAnsi" w:eastAsiaTheme="minorHAnsi" w:hAnsiTheme="majorHAnsi" w:cstheme="majorHAnsi"/>
          <w:sz w:val="22"/>
          <w:szCs w:val="22"/>
          <w:lang w:val="en-GB" w:eastAsia="en-US"/>
        </w:rPr>
        <w:t xml:space="preserve">Clark, A., </w:t>
      </w:r>
      <w:proofErr w:type="spellStart"/>
      <w:r w:rsidRPr="0018161F">
        <w:rPr>
          <w:rFonts w:asciiTheme="majorHAnsi" w:eastAsiaTheme="minorHAnsi" w:hAnsiTheme="majorHAnsi" w:cstheme="majorHAnsi"/>
          <w:sz w:val="22"/>
          <w:szCs w:val="22"/>
          <w:lang w:val="en-GB" w:eastAsia="en-US"/>
        </w:rPr>
        <w:t>Georgellis</w:t>
      </w:r>
      <w:proofErr w:type="spellEnd"/>
      <w:r w:rsidRPr="0018161F">
        <w:rPr>
          <w:rFonts w:asciiTheme="majorHAnsi" w:eastAsiaTheme="minorHAnsi" w:hAnsiTheme="majorHAnsi" w:cstheme="majorHAnsi"/>
          <w:sz w:val="22"/>
          <w:szCs w:val="22"/>
          <w:lang w:val="en-GB" w:eastAsia="en-US"/>
        </w:rPr>
        <w:t xml:space="preserve">, Y., &amp; </w:t>
      </w:r>
      <w:proofErr w:type="spellStart"/>
      <w:r w:rsidRPr="0018161F">
        <w:rPr>
          <w:rFonts w:asciiTheme="majorHAnsi" w:eastAsiaTheme="minorHAnsi" w:hAnsiTheme="majorHAnsi" w:cstheme="majorHAnsi"/>
          <w:sz w:val="22"/>
          <w:szCs w:val="22"/>
          <w:lang w:val="en-GB" w:eastAsia="en-US"/>
        </w:rPr>
        <w:t>Sanfey</w:t>
      </w:r>
      <w:proofErr w:type="spellEnd"/>
      <w:r w:rsidRPr="0018161F">
        <w:rPr>
          <w:rFonts w:asciiTheme="majorHAnsi" w:eastAsiaTheme="minorHAnsi" w:hAnsiTheme="majorHAnsi" w:cstheme="majorHAnsi"/>
          <w:sz w:val="22"/>
          <w:szCs w:val="22"/>
          <w:lang w:val="en-GB" w:eastAsia="en-US"/>
        </w:rPr>
        <w:t xml:space="preserve">, P. (2001). Scarring: The psychological impact of past unemployment. </w:t>
      </w:r>
      <w:proofErr w:type="spellStart"/>
      <w:r w:rsidRPr="0018161F">
        <w:rPr>
          <w:rFonts w:asciiTheme="majorHAnsi" w:eastAsiaTheme="minorHAnsi" w:hAnsiTheme="majorHAnsi" w:cstheme="majorHAnsi"/>
          <w:i/>
          <w:iCs/>
          <w:sz w:val="22"/>
          <w:szCs w:val="22"/>
          <w:lang w:val="en-GB" w:eastAsia="en-US"/>
        </w:rPr>
        <w:t>Economica</w:t>
      </w:r>
      <w:proofErr w:type="spellEnd"/>
      <w:r w:rsidRPr="0018161F">
        <w:rPr>
          <w:rFonts w:asciiTheme="majorHAnsi" w:eastAsiaTheme="minorHAnsi" w:hAnsiTheme="majorHAnsi" w:cstheme="majorHAnsi"/>
          <w:sz w:val="22"/>
          <w:szCs w:val="22"/>
          <w:lang w:val="en-GB" w:eastAsia="en-US"/>
        </w:rPr>
        <w:t xml:space="preserve">, </w:t>
      </w:r>
      <w:r w:rsidRPr="0018161F">
        <w:rPr>
          <w:rFonts w:asciiTheme="majorHAnsi" w:eastAsiaTheme="minorHAnsi" w:hAnsiTheme="majorHAnsi" w:cstheme="majorHAnsi"/>
          <w:i/>
          <w:iCs/>
          <w:sz w:val="22"/>
          <w:szCs w:val="22"/>
          <w:lang w:val="en-GB" w:eastAsia="en-US"/>
        </w:rPr>
        <w:t>68</w:t>
      </w:r>
      <w:r w:rsidRPr="0018161F">
        <w:rPr>
          <w:rFonts w:asciiTheme="majorHAnsi" w:eastAsiaTheme="minorHAnsi" w:hAnsiTheme="majorHAnsi" w:cstheme="majorHAnsi"/>
          <w:sz w:val="22"/>
          <w:szCs w:val="22"/>
          <w:lang w:val="en-GB" w:eastAsia="en-US"/>
        </w:rPr>
        <w:t>(270), 221–241.</w:t>
      </w:r>
    </w:p>
    <w:p w:rsidR="00D60501" w:rsidRPr="0018161F" w:rsidRDefault="00D60501" w:rsidP="00D60501">
      <w:pPr>
        <w:rPr>
          <w:rFonts w:asciiTheme="majorHAnsi" w:hAnsiTheme="majorHAnsi" w:cstheme="majorHAnsi"/>
          <w:sz w:val="22"/>
          <w:szCs w:val="22"/>
          <w:lang w:val="en-GB"/>
        </w:rPr>
      </w:pPr>
      <w:proofErr w:type="spellStart"/>
      <w:r w:rsidRPr="0018161F">
        <w:rPr>
          <w:rFonts w:asciiTheme="majorHAnsi" w:hAnsiTheme="majorHAnsi" w:cstheme="majorHAnsi"/>
          <w:sz w:val="22"/>
          <w:szCs w:val="22"/>
          <w:lang w:val="en-GB"/>
        </w:rPr>
        <w:t>Gabadinho</w:t>
      </w:r>
      <w:proofErr w:type="spellEnd"/>
      <w:r w:rsidRPr="0018161F">
        <w:rPr>
          <w:rFonts w:asciiTheme="majorHAnsi" w:hAnsiTheme="majorHAnsi" w:cstheme="majorHAnsi"/>
          <w:sz w:val="22"/>
          <w:szCs w:val="22"/>
          <w:lang w:val="en-GB"/>
        </w:rPr>
        <w:t xml:space="preserve">, A., </w:t>
      </w:r>
      <w:proofErr w:type="spellStart"/>
      <w:r w:rsidRPr="0018161F">
        <w:rPr>
          <w:rFonts w:asciiTheme="majorHAnsi" w:hAnsiTheme="majorHAnsi" w:cstheme="majorHAnsi"/>
          <w:sz w:val="22"/>
          <w:szCs w:val="22"/>
          <w:lang w:val="en-GB"/>
        </w:rPr>
        <w:t>Ritschard</w:t>
      </w:r>
      <w:proofErr w:type="spellEnd"/>
      <w:r w:rsidRPr="0018161F">
        <w:rPr>
          <w:rFonts w:asciiTheme="majorHAnsi" w:hAnsiTheme="majorHAnsi" w:cstheme="majorHAnsi"/>
          <w:sz w:val="22"/>
          <w:szCs w:val="22"/>
          <w:lang w:val="en-GB"/>
        </w:rPr>
        <w:t xml:space="preserve">, G., Müller, N.S. &amp; </w:t>
      </w:r>
      <w:proofErr w:type="spellStart"/>
      <w:r w:rsidRPr="0018161F">
        <w:rPr>
          <w:rFonts w:asciiTheme="majorHAnsi" w:hAnsiTheme="majorHAnsi" w:cstheme="majorHAnsi"/>
          <w:sz w:val="22"/>
          <w:szCs w:val="22"/>
          <w:lang w:val="en-GB"/>
        </w:rPr>
        <w:t>Studer</w:t>
      </w:r>
      <w:proofErr w:type="spellEnd"/>
      <w:r w:rsidRPr="0018161F">
        <w:rPr>
          <w:rFonts w:asciiTheme="majorHAnsi" w:hAnsiTheme="majorHAnsi" w:cstheme="majorHAnsi"/>
          <w:sz w:val="22"/>
          <w:szCs w:val="22"/>
          <w:lang w:val="en-GB"/>
        </w:rPr>
        <w:t xml:space="preserve">, M. (2011), </w:t>
      </w:r>
      <w:proofErr w:type="spellStart"/>
      <w:r w:rsidRPr="0018161F">
        <w:rPr>
          <w:rFonts w:asciiTheme="majorHAnsi" w:hAnsiTheme="majorHAnsi" w:cstheme="majorHAnsi"/>
          <w:sz w:val="22"/>
          <w:szCs w:val="22"/>
          <w:lang w:val="en-GB"/>
        </w:rPr>
        <w:t>Analyzing</w:t>
      </w:r>
      <w:proofErr w:type="spellEnd"/>
      <w:r w:rsidRPr="0018161F">
        <w:rPr>
          <w:rFonts w:asciiTheme="majorHAnsi" w:hAnsiTheme="majorHAnsi" w:cstheme="majorHAnsi"/>
          <w:sz w:val="22"/>
          <w:szCs w:val="22"/>
          <w:lang w:val="en-GB"/>
        </w:rPr>
        <w:t xml:space="preserve"> and visualizing state sequences in R with </w:t>
      </w:r>
      <w:proofErr w:type="spellStart"/>
      <w:r w:rsidRPr="0018161F">
        <w:rPr>
          <w:rFonts w:asciiTheme="majorHAnsi" w:hAnsiTheme="majorHAnsi" w:cstheme="majorHAnsi"/>
          <w:sz w:val="22"/>
          <w:szCs w:val="22"/>
          <w:lang w:val="en-GB"/>
        </w:rPr>
        <w:t>TraMineR</w:t>
      </w:r>
      <w:proofErr w:type="spellEnd"/>
      <w:r w:rsidRPr="0018161F">
        <w:rPr>
          <w:rFonts w:asciiTheme="majorHAnsi" w:hAnsiTheme="majorHAnsi" w:cstheme="majorHAnsi"/>
          <w:sz w:val="22"/>
          <w:szCs w:val="22"/>
          <w:lang w:val="en-GB"/>
        </w:rPr>
        <w:t xml:space="preserve">, </w:t>
      </w:r>
      <w:r w:rsidRPr="0018161F">
        <w:rPr>
          <w:rFonts w:asciiTheme="majorHAnsi" w:hAnsiTheme="majorHAnsi" w:cstheme="majorHAnsi"/>
          <w:i/>
          <w:iCs/>
          <w:sz w:val="22"/>
          <w:szCs w:val="22"/>
          <w:lang w:val="en-GB"/>
        </w:rPr>
        <w:t>Journal of Statistical Software</w:t>
      </w:r>
      <w:r w:rsidRPr="0018161F">
        <w:rPr>
          <w:rFonts w:asciiTheme="majorHAnsi" w:hAnsiTheme="majorHAnsi" w:cstheme="majorHAnsi"/>
          <w:sz w:val="22"/>
          <w:szCs w:val="22"/>
          <w:lang w:val="en-GB"/>
        </w:rPr>
        <w:t>. Vol. 40(4), pp. 1-37.</w:t>
      </w:r>
    </w:p>
    <w:p w:rsidR="00D60501" w:rsidRPr="0018161F" w:rsidRDefault="00D60501" w:rsidP="00D60501">
      <w:pPr>
        <w:spacing w:line="480" w:lineRule="auto"/>
        <w:ind w:left="720" w:hanging="720"/>
        <w:rPr>
          <w:rFonts w:asciiTheme="majorHAnsi" w:eastAsiaTheme="minorHAnsi" w:hAnsiTheme="majorHAnsi" w:cstheme="majorHAnsi"/>
          <w:sz w:val="22"/>
          <w:szCs w:val="22"/>
          <w:lang w:val="en-GB" w:eastAsia="en-US"/>
        </w:rPr>
      </w:pPr>
      <w:r w:rsidRPr="0018161F">
        <w:rPr>
          <w:rFonts w:asciiTheme="majorHAnsi" w:eastAsiaTheme="minorHAnsi" w:hAnsiTheme="majorHAnsi" w:cstheme="majorHAnsi"/>
          <w:sz w:val="22"/>
          <w:szCs w:val="22"/>
          <w:lang w:val="en-GB" w:eastAsia="en-US"/>
        </w:rPr>
        <w:t xml:space="preserve">Gregg, P., &amp; </w:t>
      </w:r>
      <w:proofErr w:type="spellStart"/>
      <w:r w:rsidRPr="0018161F">
        <w:rPr>
          <w:rFonts w:asciiTheme="majorHAnsi" w:eastAsiaTheme="minorHAnsi" w:hAnsiTheme="majorHAnsi" w:cstheme="majorHAnsi"/>
          <w:sz w:val="22"/>
          <w:szCs w:val="22"/>
          <w:lang w:val="en-GB" w:eastAsia="en-US"/>
        </w:rPr>
        <w:t>Tominey</w:t>
      </w:r>
      <w:proofErr w:type="spellEnd"/>
      <w:r w:rsidRPr="0018161F">
        <w:rPr>
          <w:rFonts w:asciiTheme="majorHAnsi" w:eastAsiaTheme="minorHAnsi" w:hAnsiTheme="majorHAnsi" w:cstheme="majorHAnsi"/>
          <w:sz w:val="22"/>
          <w:szCs w:val="22"/>
          <w:lang w:val="en-GB" w:eastAsia="en-US"/>
        </w:rPr>
        <w:t xml:space="preserve">, E. (2005). The wage scar from male youth unemployment. </w:t>
      </w:r>
      <w:r w:rsidRPr="0018161F">
        <w:rPr>
          <w:rFonts w:asciiTheme="majorHAnsi" w:eastAsiaTheme="minorHAnsi" w:hAnsiTheme="majorHAnsi" w:cstheme="majorHAnsi"/>
          <w:i/>
          <w:iCs/>
          <w:sz w:val="22"/>
          <w:szCs w:val="22"/>
          <w:lang w:val="en-GB" w:eastAsia="en-US"/>
        </w:rPr>
        <w:t>Labour Economics</w:t>
      </w:r>
      <w:r w:rsidRPr="0018161F">
        <w:rPr>
          <w:rFonts w:asciiTheme="majorHAnsi" w:eastAsiaTheme="minorHAnsi" w:hAnsiTheme="majorHAnsi" w:cstheme="majorHAnsi"/>
          <w:sz w:val="22"/>
          <w:szCs w:val="22"/>
          <w:lang w:val="en-GB" w:eastAsia="en-US"/>
        </w:rPr>
        <w:t xml:space="preserve">, </w:t>
      </w:r>
      <w:r w:rsidRPr="0018161F">
        <w:rPr>
          <w:rFonts w:asciiTheme="majorHAnsi" w:eastAsiaTheme="minorHAnsi" w:hAnsiTheme="majorHAnsi" w:cstheme="majorHAnsi"/>
          <w:i/>
          <w:iCs/>
          <w:sz w:val="22"/>
          <w:szCs w:val="22"/>
          <w:lang w:val="en-GB" w:eastAsia="en-US"/>
        </w:rPr>
        <w:t>12</w:t>
      </w:r>
      <w:r w:rsidRPr="0018161F">
        <w:rPr>
          <w:rFonts w:asciiTheme="majorHAnsi" w:eastAsiaTheme="minorHAnsi" w:hAnsiTheme="majorHAnsi" w:cstheme="majorHAnsi"/>
          <w:sz w:val="22"/>
          <w:szCs w:val="22"/>
          <w:lang w:val="en-GB" w:eastAsia="en-US"/>
        </w:rPr>
        <w:t>(4), 487–509.</w:t>
      </w:r>
    </w:p>
    <w:p w:rsidR="00D60501" w:rsidRDefault="00D60501" w:rsidP="00D60501">
      <w:pPr>
        <w:spacing w:line="480" w:lineRule="auto"/>
        <w:ind w:left="720" w:hanging="720"/>
        <w:rPr>
          <w:rFonts w:asciiTheme="majorHAnsi" w:eastAsiaTheme="minorHAnsi" w:hAnsiTheme="majorHAnsi" w:cstheme="majorHAnsi"/>
          <w:sz w:val="22"/>
          <w:szCs w:val="22"/>
          <w:lang w:eastAsia="en-US"/>
        </w:rPr>
      </w:pPr>
      <w:proofErr w:type="spellStart"/>
      <w:r w:rsidRPr="0018161F">
        <w:rPr>
          <w:rFonts w:asciiTheme="majorHAnsi" w:eastAsiaTheme="minorHAnsi" w:hAnsiTheme="majorHAnsi" w:cstheme="majorHAnsi"/>
          <w:sz w:val="22"/>
          <w:szCs w:val="22"/>
          <w:lang w:val="en-GB" w:eastAsia="en-US"/>
        </w:rPr>
        <w:t>Knabe</w:t>
      </w:r>
      <w:proofErr w:type="spellEnd"/>
      <w:r w:rsidRPr="0018161F">
        <w:rPr>
          <w:rFonts w:asciiTheme="majorHAnsi" w:eastAsiaTheme="minorHAnsi" w:hAnsiTheme="majorHAnsi" w:cstheme="majorHAnsi"/>
          <w:sz w:val="22"/>
          <w:szCs w:val="22"/>
          <w:lang w:val="en-GB" w:eastAsia="en-US"/>
        </w:rPr>
        <w:t xml:space="preserve">, A., &amp; </w:t>
      </w:r>
      <w:proofErr w:type="spellStart"/>
      <w:r w:rsidRPr="0018161F">
        <w:rPr>
          <w:rFonts w:asciiTheme="majorHAnsi" w:eastAsiaTheme="minorHAnsi" w:hAnsiTheme="majorHAnsi" w:cstheme="majorHAnsi"/>
          <w:sz w:val="22"/>
          <w:szCs w:val="22"/>
          <w:lang w:val="en-GB" w:eastAsia="en-US"/>
        </w:rPr>
        <w:t>Rätzel</w:t>
      </w:r>
      <w:proofErr w:type="spellEnd"/>
      <w:r w:rsidRPr="0018161F">
        <w:rPr>
          <w:rFonts w:asciiTheme="majorHAnsi" w:eastAsiaTheme="minorHAnsi" w:hAnsiTheme="majorHAnsi" w:cstheme="majorHAnsi"/>
          <w:sz w:val="22"/>
          <w:szCs w:val="22"/>
          <w:lang w:val="en-GB" w:eastAsia="en-US"/>
        </w:rPr>
        <w:t xml:space="preserve">, S. (2011). Scarring or scaring? The psychological impact of past unemployment and future unemployment risk. </w:t>
      </w:r>
      <w:proofErr w:type="spellStart"/>
      <w:r w:rsidRPr="0018161F">
        <w:rPr>
          <w:rFonts w:asciiTheme="majorHAnsi" w:eastAsiaTheme="minorHAnsi" w:hAnsiTheme="majorHAnsi" w:cstheme="majorHAnsi"/>
          <w:i/>
          <w:iCs/>
          <w:sz w:val="22"/>
          <w:szCs w:val="22"/>
          <w:lang w:eastAsia="en-US"/>
        </w:rPr>
        <w:t>Economica</w:t>
      </w:r>
      <w:proofErr w:type="spellEnd"/>
      <w:r w:rsidRPr="0018161F">
        <w:rPr>
          <w:rFonts w:asciiTheme="majorHAnsi" w:eastAsiaTheme="minorHAnsi" w:hAnsiTheme="majorHAnsi" w:cstheme="majorHAnsi"/>
          <w:sz w:val="22"/>
          <w:szCs w:val="22"/>
          <w:lang w:eastAsia="en-US"/>
        </w:rPr>
        <w:t xml:space="preserve">, </w:t>
      </w:r>
      <w:r w:rsidRPr="0018161F">
        <w:rPr>
          <w:rFonts w:asciiTheme="majorHAnsi" w:eastAsiaTheme="minorHAnsi" w:hAnsiTheme="majorHAnsi" w:cstheme="majorHAnsi"/>
          <w:i/>
          <w:iCs/>
          <w:sz w:val="22"/>
          <w:szCs w:val="22"/>
          <w:lang w:eastAsia="en-US"/>
        </w:rPr>
        <w:t>78</w:t>
      </w:r>
      <w:r w:rsidRPr="0018161F">
        <w:rPr>
          <w:rFonts w:asciiTheme="majorHAnsi" w:eastAsiaTheme="minorHAnsi" w:hAnsiTheme="majorHAnsi" w:cstheme="majorHAnsi"/>
          <w:sz w:val="22"/>
          <w:szCs w:val="22"/>
          <w:lang w:eastAsia="en-US"/>
        </w:rPr>
        <w:t>(310), 283–293.</w:t>
      </w:r>
    </w:p>
    <w:p w:rsidR="00D60501" w:rsidRDefault="00D60501" w:rsidP="00D60501">
      <w:pPr>
        <w:spacing w:line="480" w:lineRule="auto"/>
        <w:ind w:left="720" w:hanging="720"/>
        <w:rPr>
          <w:rFonts w:asciiTheme="majorHAnsi" w:eastAsiaTheme="minorHAnsi" w:hAnsiTheme="majorHAnsi" w:cstheme="majorHAnsi"/>
          <w:sz w:val="22"/>
          <w:szCs w:val="22"/>
          <w:lang w:eastAsia="en-US"/>
        </w:rPr>
      </w:pPr>
    </w:p>
    <w:p w:rsidR="00D60501" w:rsidRDefault="00D60501" w:rsidP="00D60501">
      <w:pPr>
        <w:spacing w:line="480" w:lineRule="auto"/>
        <w:rPr>
          <w:rFonts w:asciiTheme="majorHAnsi" w:eastAsiaTheme="minorHAnsi" w:hAnsiTheme="majorHAnsi" w:cstheme="majorHAnsi"/>
          <w:sz w:val="22"/>
          <w:szCs w:val="22"/>
          <w:lang w:eastAsia="en-US"/>
        </w:rPr>
      </w:pPr>
    </w:p>
    <w:p w:rsidR="0030570C" w:rsidRDefault="00D60501" w:rsidP="00D60501">
      <w:pPr>
        <w:jc w:val="left"/>
      </w:pPr>
      <w:r w:rsidRPr="0018161F">
        <w:rPr>
          <w:rFonts w:asciiTheme="majorHAnsi" w:hAnsiTheme="majorHAnsi" w:cstheme="majorHAnsi"/>
          <w:sz w:val="22"/>
          <w:szCs w:val="22"/>
          <w:lang w:val="en-GB"/>
        </w:rPr>
        <w:fldChar w:fldCharType="end"/>
      </w:r>
    </w:p>
    <w:sectPr w:rsidR="0030570C">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01" w:rsidRDefault="00D60501" w:rsidP="00D60501">
      <w:pPr>
        <w:spacing w:line="240" w:lineRule="auto"/>
      </w:pPr>
      <w:r>
        <w:separator/>
      </w:r>
    </w:p>
  </w:endnote>
  <w:endnote w:type="continuationSeparator" w:id="0">
    <w:p w:rsidR="00D60501" w:rsidRDefault="00D60501" w:rsidP="00D60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70152592"/>
      <w:docPartObj>
        <w:docPartGallery w:val="Page Numbers (Bottom of Page)"/>
        <w:docPartUnique/>
      </w:docPartObj>
    </w:sdtPr>
    <w:sdtContent>
      <w:p w:rsidR="00D60501" w:rsidRDefault="00D60501" w:rsidP="0018161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60501" w:rsidRDefault="00D60501" w:rsidP="0018161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8562013"/>
      <w:docPartObj>
        <w:docPartGallery w:val="Page Numbers (Bottom of Page)"/>
        <w:docPartUnique/>
      </w:docPartObj>
    </w:sdtPr>
    <w:sdtContent>
      <w:p w:rsidR="00D60501" w:rsidRDefault="00D60501" w:rsidP="0018161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03E97">
          <w:rPr>
            <w:rStyle w:val="Numerstrony"/>
            <w:noProof/>
          </w:rPr>
          <w:t>1</w:t>
        </w:r>
        <w:r>
          <w:rPr>
            <w:rStyle w:val="Numerstrony"/>
          </w:rPr>
          <w:fldChar w:fldCharType="end"/>
        </w:r>
      </w:p>
    </w:sdtContent>
  </w:sdt>
  <w:p w:rsidR="00D60501" w:rsidRDefault="00D60501" w:rsidP="0018161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01" w:rsidRDefault="00D60501" w:rsidP="00D60501">
      <w:pPr>
        <w:spacing w:line="240" w:lineRule="auto"/>
      </w:pPr>
      <w:r>
        <w:separator/>
      </w:r>
    </w:p>
  </w:footnote>
  <w:footnote w:type="continuationSeparator" w:id="0">
    <w:p w:rsidR="00D60501" w:rsidRDefault="00D60501" w:rsidP="00D60501">
      <w:pPr>
        <w:spacing w:line="240" w:lineRule="auto"/>
      </w:pPr>
      <w:r>
        <w:continuationSeparator/>
      </w:r>
    </w:p>
  </w:footnote>
  <w:footnote w:id="1">
    <w:p w:rsidR="00D60501" w:rsidRDefault="00D60501" w:rsidP="00D60501">
      <w:pPr>
        <w:pStyle w:val="Tekstprzypisudolnego"/>
      </w:pPr>
      <w:r>
        <w:rPr>
          <w:rStyle w:val="Odwoanieprzypisudolnego"/>
        </w:rPr>
        <w:footnoteRef/>
      </w:r>
      <w:r>
        <w:t xml:space="preserve"> W części rozdziału dotyczącej prac dorywczych, pierwszej pracy oraz zgodności pracy z wykształceniem wykorzystano wnioski analizy zawarte w raporcie z tych badań: </w:t>
      </w:r>
      <w:r w:rsidRPr="0054113C">
        <w:t xml:space="preserve">Bulkowski, Grygiel, </w:t>
      </w:r>
      <w:proofErr w:type="spellStart"/>
      <w:r w:rsidRPr="0054113C">
        <w:t>Humenny</w:t>
      </w:r>
      <w:proofErr w:type="spellEnd"/>
      <w:r w:rsidRPr="0054113C">
        <w:t>, Sitek, Stasiowski i Żółtak (2017). Losy edukacyjne i zawodowe absolwentów szkół zawodowych 2014/2015 – Raport z pilotażowej rundy monitoringu losów zawodowych absolwentów szkół zawodowych. Warszawa: Instytut Badań Edukacyjnych.</w:t>
      </w:r>
      <w:r>
        <w:t xml:space="preserve"> </w:t>
      </w:r>
    </w:p>
  </w:footnote>
  <w:footnote w:id="2">
    <w:p w:rsidR="00D60501" w:rsidRPr="00CE3C69" w:rsidRDefault="00D60501" w:rsidP="00D60501">
      <w:pPr>
        <w:pStyle w:val="HTML-wstpniesformatowany"/>
        <w:shd w:val="clear" w:color="auto" w:fill="FFFFFF"/>
        <w:wordWrap w:val="0"/>
        <w:spacing w:line="225" w:lineRule="atLeast"/>
        <w:rPr>
          <w:rFonts w:cstheme="minorHAnsi"/>
        </w:rPr>
      </w:pPr>
      <w:r w:rsidRPr="00CE3C69">
        <w:rPr>
          <w:rStyle w:val="Odwoanieprzypisudolnego"/>
          <w:rFonts w:asciiTheme="minorHAnsi" w:hAnsiTheme="minorHAnsi" w:cstheme="minorHAnsi"/>
        </w:rPr>
        <w:footnoteRef/>
      </w:r>
      <w:r w:rsidRPr="00CE3C69">
        <w:rPr>
          <w:rFonts w:asciiTheme="minorHAnsi" w:hAnsiTheme="minorHAnsi" w:cstheme="minorHAnsi"/>
        </w:rPr>
        <w:t xml:space="preserve"> </w:t>
      </w:r>
      <w:r w:rsidRPr="002E46F7">
        <w:rPr>
          <w:rFonts w:asciiTheme="majorHAnsi" w:hAnsiTheme="majorHAnsi" w:cstheme="majorHAnsi"/>
        </w:rPr>
        <w:t xml:space="preserve">W przypadku analizowanych danych najpopularniejsze techniki dają podobne wyniki: przy stałych kosztach korelacje techniki optymalnego dopasowania z dystansami wyliczonymi z wykorzystaniem innych algorytmów to: dystans </w:t>
      </w:r>
      <w:proofErr w:type="spellStart"/>
      <w:r w:rsidRPr="002E46F7">
        <w:rPr>
          <w:rFonts w:asciiTheme="majorHAnsi" w:hAnsiTheme="majorHAnsi" w:cstheme="majorHAnsi"/>
        </w:rPr>
        <w:t>Hamminga</w:t>
      </w:r>
      <w:proofErr w:type="spellEnd"/>
      <w:r w:rsidRPr="002E46F7">
        <w:rPr>
          <w:rFonts w:asciiTheme="majorHAnsi" w:hAnsiTheme="majorHAnsi" w:cstheme="majorHAnsi"/>
        </w:rPr>
        <w:t xml:space="preserve">: r=0,92, </w:t>
      </w:r>
      <w:proofErr w:type="spellStart"/>
      <w:r w:rsidRPr="002E46F7">
        <w:rPr>
          <w:rFonts w:asciiTheme="majorHAnsi" w:hAnsiTheme="majorHAnsi" w:cstheme="majorHAnsi"/>
        </w:rPr>
        <w:t>subsequence</w:t>
      </w:r>
      <w:proofErr w:type="spellEnd"/>
      <w:r w:rsidRPr="002E46F7">
        <w:rPr>
          <w:rFonts w:asciiTheme="majorHAnsi" w:hAnsiTheme="majorHAnsi" w:cstheme="majorHAnsi"/>
        </w:rPr>
        <w:t xml:space="preserve">  </w:t>
      </w:r>
      <w:proofErr w:type="spellStart"/>
      <w:r w:rsidRPr="002E46F7">
        <w:rPr>
          <w:rFonts w:asciiTheme="majorHAnsi" w:hAnsiTheme="majorHAnsi" w:cstheme="majorHAnsi"/>
        </w:rPr>
        <w:t>vector</w:t>
      </w:r>
      <w:proofErr w:type="spellEnd"/>
      <w:r w:rsidRPr="002E46F7">
        <w:rPr>
          <w:rFonts w:asciiTheme="majorHAnsi" w:hAnsiTheme="majorHAnsi" w:cstheme="majorHAnsi"/>
        </w:rPr>
        <w:t xml:space="preserve">  </w:t>
      </w:r>
      <w:proofErr w:type="spellStart"/>
      <w:r w:rsidRPr="002E46F7">
        <w:rPr>
          <w:rFonts w:asciiTheme="majorHAnsi" w:hAnsiTheme="majorHAnsi" w:cstheme="majorHAnsi"/>
        </w:rPr>
        <w:t>representation-based</w:t>
      </w:r>
      <w:proofErr w:type="spellEnd"/>
      <w:r w:rsidRPr="002E46F7">
        <w:rPr>
          <w:rFonts w:asciiTheme="majorHAnsi" w:hAnsiTheme="majorHAnsi" w:cstheme="majorHAnsi"/>
        </w:rPr>
        <w:t xml:space="preserve"> </w:t>
      </w:r>
      <w:proofErr w:type="spellStart"/>
      <w:r w:rsidRPr="002E46F7">
        <w:rPr>
          <w:rFonts w:asciiTheme="majorHAnsi" w:hAnsiTheme="majorHAnsi" w:cstheme="majorHAnsi"/>
        </w:rPr>
        <w:t>metric</w:t>
      </w:r>
      <w:proofErr w:type="spellEnd"/>
      <w:r w:rsidRPr="002E46F7">
        <w:rPr>
          <w:rFonts w:asciiTheme="majorHAnsi" w:hAnsiTheme="majorHAnsi" w:cstheme="majorHAnsi"/>
        </w:rPr>
        <w:t xml:space="preserve">: r=0,81, </w:t>
      </w:r>
      <w:proofErr w:type="spellStart"/>
      <w:r w:rsidRPr="002E46F7">
        <w:rPr>
          <w:rFonts w:asciiTheme="majorHAnsi" w:hAnsiTheme="majorHAnsi" w:cstheme="majorHAnsi"/>
        </w:rPr>
        <w:t>longest</w:t>
      </w:r>
      <w:proofErr w:type="spellEnd"/>
      <w:r w:rsidRPr="002E46F7">
        <w:rPr>
          <w:rFonts w:asciiTheme="majorHAnsi" w:hAnsiTheme="majorHAnsi" w:cstheme="majorHAnsi"/>
        </w:rPr>
        <w:t xml:space="preserve"> </w:t>
      </w:r>
      <w:proofErr w:type="spellStart"/>
      <w:r w:rsidRPr="002E46F7">
        <w:rPr>
          <w:rFonts w:asciiTheme="majorHAnsi" w:hAnsiTheme="majorHAnsi" w:cstheme="majorHAnsi"/>
        </w:rPr>
        <w:t>common</w:t>
      </w:r>
      <w:proofErr w:type="spellEnd"/>
      <w:r w:rsidRPr="002E46F7">
        <w:rPr>
          <w:rFonts w:asciiTheme="majorHAnsi" w:hAnsiTheme="majorHAnsi" w:cstheme="majorHAnsi"/>
        </w:rPr>
        <w:t xml:space="preserve"> </w:t>
      </w:r>
      <w:proofErr w:type="spellStart"/>
      <w:r w:rsidRPr="002E46F7">
        <w:rPr>
          <w:rFonts w:asciiTheme="majorHAnsi" w:hAnsiTheme="majorHAnsi" w:cstheme="majorHAnsi"/>
        </w:rPr>
        <w:t>subsequence</w:t>
      </w:r>
      <w:proofErr w:type="spellEnd"/>
      <w:r w:rsidRPr="002E46F7">
        <w:rPr>
          <w:rFonts w:asciiTheme="majorHAnsi" w:hAnsiTheme="majorHAnsi" w:cstheme="majorHAnsi"/>
        </w:rPr>
        <w:t>: r=1,0.</w:t>
      </w:r>
    </w:p>
  </w:footnote>
  <w:footnote w:id="3">
    <w:p w:rsidR="00D60501" w:rsidRDefault="00D60501" w:rsidP="00D60501">
      <w:pPr>
        <w:pStyle w:val="Tekstprzypisudolnego"/>
      </w:pPr>
      <w:r>
        <w:rPr>
          <w:rStyle w:val="Odwoanieprzypisudolnego"/>
        </w:rPr>
        <w:footnoteRef/>
      </w:r>
      <w:r>
        <w:t xml:space="preserve"> Bardziej dokładne analizy wymagałyby większej liczebności próby umożliwiającej przeanalizowanie efektów interakcyjnych (różnic między charakterystykami uczniów poszczególnych obszarów kształcenia)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9E9"/>
    <w:multiLevelType w:val="hybridMultilevel"/>
    <w:tmpl w:val="CB7CF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E7343"/>
    <w:multiLevelType w:val="hybridMultilevel"/>
    <w:tmpl w:val="2BEED05C"/>
    <w:lvl w:ilvl="0" w:tplc="0CA8F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D8586D"/>
    <w:multiLevelType w:val="hybridMultilevel"/>
    <w:tmpl w:val="164CE494"/>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3" w15:restartNumberingAfterBreak="0">
    <w:nsid w:val="0DE65F8C"/>
    <w:multiLevelType w:val="hybridMultilevel"/>
    <w:tmpl w:val="2E9A2A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EF15550"/>
    <w:multiLevelType w:val="hybridMultilevel"/>
    <w:tmpl w:val="635887E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CE08A3"/>
    <w:multiLevelType w:val="hybridMultilevel"/>
    <w:tmpl w:val="F9E44E7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 w15:restartNumberingAfterBreak="0">
    <w:nsid w:val="0FF97F4C"/>
    <w:multiLevelType w:val="hybridMultilevel"/>
    <w:tmpl w:val="A9B86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1C7403"/>
    <w:multiLevelType w:val="hybridMultilevel"/>
    <w:tmpl w:val="D9843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60FF5"/>
    <w:multiLevelType w:val="hybridMultilevel"/>
    <w:tmpl w:val="C5447136"/>
    <w:lvl w:ilvl="0" w:tplc="2A403F84">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C5765C1"/>
    <w:multiLevelType w:val="hybridMultilevel"/>
    <w:tmpl w:val="DCECF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E37837"/>
    <w:multiLevelType w:val="multilevel"/>
    <w:tmpl w:val="FBC20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236C69"/>
    <w:multiLevelType w:val="hybridMultilevel"/>
    <w:tmpl w:val="7D20B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919CD"/>
    <w:multiLevelType w:val="hybridMultilevel"/>
    <w:tmpl w:val="F9DCF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C4143C"/>
    <w:multiLevelType w:val="hybridMultilevel"/>
    <w:tmpl w:val="785A7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5B347C"/>
    <w:multiLevelType w:val="hybridMultilevel"/>
    <w:tmpl w:val="4BC42794"/>
    <w:lvl w:ilvl="0" w:tplc="A590007C">
      <w:start w:val="1"/>
      <w:numFmt w:val="bullet"/>
      <w:lvlText w:val=""/>
      <w:lvlJc w:val="left"/>
      <w:pPr>
        <w:ind w:left="720" w:hanging="360"/>
      </w:pPr>
      <w:rPr>
        <w:rFonts w:ascii="Symbol" w:hAnsi="Symbol"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77B12"/>
    <w:multiLevelType w:val="hybridMultilevel"/>
    <w:tmpl w:val="60668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E81A47"/>
    <w:multiLevelType w:val="hybridMultilevel"/>
    <w:tmpl w:val="8416E3A8"/>
    <w:lvl w:ilvl="0" w:tplc="A590007C">
      <w:start w:val="1"/>
      <w:numFmt w:val="bullet"/>
      <w:lvlText w:val=""/>
      <w:lvlJc w:val="left"/>
      <w:pPr>
        <w:ind w:left="720" w:hanging="360"/>
      </w:pPr>
      <w:rPr>
        <w:rFonts w:ascii="Symbol" w:hAnsi="Symbol"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465BF"/>
    <w:multiLevelType w:val="hybridMultilevel"/>
    <w:tmpl w:val="1422D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B56116"/>
    <w:multiLevelType w:val="hybridMultilevel"/>
    <w:tmpl w:val="892832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F741C0"/>
    <w:multiLevelType w:val="hybridMultilevel"/>
    <w:tmpl w:val="45948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FA1C12"/>
    <w:multiLevelType w:val="hybridMultilevel"/>
    <w:tmpl w:val="8410C7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B82209F"/>
    <w:multiLevelType w:val="hybridMultilevel"/>
    <w:tmpl w:val="725A7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842BF1"/>
    <w:multiLevelType w:val="hybridMultilevel"/>
    <w:tmpl w:val="F0D025D8"/>
    <w:lvl w:ilvl="0" w:tplc="22F0AD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11CFA"/>
    <w:multiLevelType w:val="hybridMultilevel"/>
    <w:tmpl w:val="ABE4F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56021B"/>
    <w:multiLevelType w:val="hybridMultilevel"/>
    <w:tmpl w:val="07F6C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504ACF"/>
    <w:multiLevelType w:val="hybridMultilevel"/>
    <w:tmpl w:val="16668A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F1177B8"/>
    <w:multiLevelType w:val="hybridMultilevel"/>
    <w:tmpl w:val="0290B34E"/>
    <w:lvl w:ilvl="0" w:tplc="3E9418F2">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802EFA"/>
    <w:multiLevelType w:val="hybridMultilevel"/>
    <w:tmpl w:val="ACFE0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FF3A68"/>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976B37"/>
    <w:multiLevelType w:val="hybridMultilevel"/>
    <w:tmpl w:val="E5FA5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9A2750"/>
    <w:multiLevelType w:val="hybridMultilevel"/>
    <w:tmpl w:val="A658202A"/>
    <w:lvl w:ilvl="0" w:tplc="2A403F84">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023F9D"/>
    <w:multiLevelType w:val="hybridMultilevel"/>
    <w:tmpl w:val="638EA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A668B5"/>
    <w:multiLevelType w:val="hybridMultilevel"/>
    <w:tmpl w:val="667E810A"/>
    <w:lvl w:ilvl="0" w:tplc="2A403F84">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5F6ECD"/>
    <w:multiLevelType w:val="hybridMultilevel"/>
    <w:tmpl w:val="0BE22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624C87"/>
    <w:multiLevelType w:val="hybridMultilevel"/>
    <w:tmpl w:val="2BC0D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8D5558"/>
    <w:multiLevelType w:val="hybridMultilevel"/>
    <w:tmpl w:val="92FAF4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2235B2"/>
    <w:multiLevelType w:val="hybridMultilevel"/>
    <w:tmpl w:val="584E0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CA62A2"/>
    <w:multiLevelType w:val="hybridMultilevel"/>
    <w:tmpl w:val="14AA3E10"/>
    <w:lvl w:ilvl="0" w:tplc="2A403F84">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8540611"/>
    <w:multiLevelType w:val="hybridMultilevel"/>
    <w:tmpl w:val="936AEDCC"/>
    <w:lvl w:ilvl="0" w:tplc="2A403F84">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4"/>
  </w:num>
  <w:num w:numId="4">
    <w:abstractNumId w:val="15"/>
  </w:num>
  <w:num w:numId="5">
    <w:abstractNumId w:val="17"/>
  </w:num>
  <w:num w:numId="6">
    <w:abstractNumId w:val="34"/>
  </w:num>
  <w:num w:numId="7">
    <w:abstractNumId w:val="2"/>
  </w:num>
  <w:num w:numId="8">
    <w:abstractNumId w:val="31"/>
  </w:num>
  <w:num w:numId="9">
    <w:abstractNumId w:val="12"/>
  </w:num>
  <w:num w:numId="10">
    <w:abstractNumId w:val="21"/>
  </w:num>
  <w:num w:numId="11">
    <w:abstractNumId w:val="2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36"/>
  </w:num>
  <w:num w:numId="16">
    <w:abstractNumId w:val="33"/>
  </w:num>
  <w:num w:numId="17">
    <w:abstractNumId w:val="7"/>
  </w:num>
  <w:num w:numId="18">
    <w:abstractNumId w:val="35"/>
  </w:num>
  <w:num w:numId="19">
    <w:abstractNumId w:val="11"/>
  </w:num>
  <w:num w:numId="20">
    <w:abstractNumId w:val="22"/>
  </w:num>
  <w:num w:numId="21">
    <w:abstractNumId w:val="26"/>
  </w:num>
  <w:num w:numId="22">
    <w:abstractNumId w:val="16"/>
  </w:num>
  <w:num w:numId="23">
    <w:abstractNumId w:val="14"/>
  </w:num>
  <w:num w:numId="24">
    <w:abstractNumId w:val="9"/>
  </w:num>
  <w:num w:numId="25">
    <w:abstractNumId w:val="23"/>
  </w:num>
  <w:num w:numId="26">
    <w:abstractNumId w:val="18"/>
  </w:num>
  <w:num w:numId="27">
    <w:abstractNumId w:val="1"/>
  </w:num>
  <w:num w:numId="28">
    <w:abstractNumId w:val="0"/>
  </w:num>
  <w:num w:numId="29">
    <w:abstractNumId w:val="19"/>
  </w:num>
  <w:num w:numId="30">
    <w:abstractNumId w:val="25"/>
  </w:num>
  <w:num w:numId="31">
    <w:abstractNumId w:val="37"/>
  </w:num>
  <w:num w:numId="32">
    <w:abstractNumId w:val="20"/>
  </w:num>
  <w:num w:numId="33">
    <w:abstractNumId w:val="3"/>
  </w:num>
  <w:num w:numId="34">
    <w:abstractNumId w:val="38"/>
  </w:num>
  <w:num w:numId="35">
    <w:abstractNumId w:val="8"/>
  </w:num>
  <w:num w:numId="36">
    <w:abstractNumId w:val="27"/>
  </w:num>
  <w:num w:numId="37">
    <w:abstractNumId w:val="32"/>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01"/>
    <w:rsid w:val="00035958"/>
    <w:rsid w:val="0004743A"/>
    <w:rsid w:val="00403E97"/>
    <w:rsid w:val="00857E16"/>
    <w:rsid w:val="00AB529C"/>
    <w:rsid w:val="00B21D74"/>
    <w:rsid w:val="00B600C1"/>
    <w:rsid w:val="00B84428"/>
    <w:rsid w:val="00C37908"/>
    <w:rsid w:val="00D60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DA53"/>
  <w15:chartTrackingRefBased/>
  <w15:docId w15:val="{6D9E52AB-C802-43A7-8948-9DBC01BB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501"/>
    <w:pPr>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60501"/>
    <w:pPr>
      <w:keepNext/>
      <w:keepLines/>
      <w:spacing w:before="240"/>
      <w:outlineLvl w:val="0"/>
    </w:pPr>
    <w:rPr>
      <w:rFonts w:eastAsiaTheme="majorEastAsia" w:cstheme="majorBidi"/>
      <w:b/>
      <w:color w:val="000000" w:themeColor="text1"/>
      <w:sz w:val="36"/>
      <w:szCs w:val="32"/>
    </w:rPr>
  </w:style>
  <w:style w:type="paragraph" w:styleId="Nagwek2">
    <w:name w:val="heading 2"/>
    <w:basedOn w:val="Normalny"/>
    <w:link w:val="Nagwek2Znak"/>
    <w:uiPriority w:val="9"/>
    <w:qFormat/>
    <w:rsid w:val="00D60501"/>
    <w:pPr>
      <w:spacing w:before="100" w:beforeAutospacing="1" w:after="100" w:afterAutospacing="1"/>
      <w:outlineLvl w:val="1"/>
    </w:pPr>
    <w:rPr>
      <w:b/>
      <w:bCs/>
      <w:sz w:val="28"/>
      <w:szCs w:val="36"/>
    </w:rPr>
  </w:style>
  <w:style w:type="paragraph" w:styleId="Nagwek3">
    <w:name w:val="heading 3"/>
    <w:basedOn w:val="Normalny"/>
    <w:next w:val="Normalny"/>
    <w:link w:val="Nagwek3Znak"/>
    <w:uiPriority w:val="9"/>
    <w:unhideWhenUsed/>
    <w:qFormat/>
    <w:rsid w:val="00D60501"/>
    <w:pPr>
      <w:keepNext/>
      <w:keepLines/>
      <w:spacing w:before="40"/>
      <w:outlineLvl w:val="2"/>
    </w:pPr>
    <w:rPr>
      <w:rFonts w:eastAsiaTheme="majorEastAsia" w:cstheme="majorBidi"/>
      <w:b/>
      <w: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0501"/>
    <w:rPr>
      <w:rFonts w:ascii="Times New Roman" w:eastAsiaTheme="majorEastAsia" w:hAnsi="Times New Roman" w:cstheme="majorBidi"/>
      <w:b/>
      <w:color w:val="000000" w:themeColor="text1"/>
      <w:sz w:val="36"/>
      <w:szCs w:val="32"/>
      <w:lang w:eastAsia="pl-PL"/>
    </w:rPr>
  </w:style>
  <w:style w:type="character" w:customStyle="1" w:styleId="Nagwek2Znak">
    <w:name w:val="Nagłówek 2 Znak"/>
    <w:basedOn w:val="Domylnaczcionkaakapitu"/>
    <w:link w:val="Nagwek2"/>
    <w:uiPriority w:val="9"/>
    <w:rsid w:val="00D60501"/>
    <w:rPr>
      <w:rFonts w:ascii="Times New Roman" w:eastAsia="Times New Roman" w:hAnsi="Times New Roman" w:cs="Times New Roman"/>
      <w:b/>
      <w:bCs/>
      <w:sz w:val="28"/>
      <w:szCs w:val="36"/>
      <w:lang w:eastAsia="pl-PL"/>
    </w:rPr>
  </w:style>
  <w:style w:type="character" w:customStyle="1" w:styleId="Nagwek3Znak">
    <w:name w:val="Nagłówek 3 Znak"/>
    <w:basedOn w:val="Domylnaczcionkaakapitu"/>
    <w:link w:val="Nagwek3"/>
    <w:uiPriority w:val="9"/>
    <w:rsid w:val="00D60501"/>
    <w:rPr>
      <w:rFonts w:ascii="Times New Roman" w:eastAsiaTheme="majorEastAsia" w:hAnsi="Times New Roman" w:cstheme="majorBidi"/>
      <w:b/>
      <w:i/>
      <w:color w:val="000000" w:themeColor="text1"/>
      <w:sz w:val="24"/>
      <w:szCs w:val="24"/>
      <w:lang w:eastAsia="pl-PL"/>
    </w:rPr>
  </w:style>
  <w:style w:type="paragraph" w:styleId="Akapitzlist">
    <w:name w:val="List Paragraph"/>
    <w:basedOn w:val="Normalny"/>
    <w:uiPriority w:val="34"/>
    <w:qFormat/>
    <w:rsid w:val="00D60501"/>
    <w:pPr>
      <w:spacing w:after="200" w:line="276" w:lineRule="auto"/>
      <w:ind w:left="720"/>
      <w:contextualSpacing/>
    </w:pPr>
    <w:rPr>
      <w:rFonts w:asciiTheme="minorHAnsi" w:hAnsiTheme="minorHAnsi"/>
      <w:sz w:val="22"/>
    </w:rPr>
  </w:style>
  <w:style w:type="paragraph" w:styleId="NormalnyWeb">
    <w:name w:val="Normal (Web)"/>
    <w:basedOn w:val="Normalny"/>
    <w:uiPriority w:val="99"/>
    <w:unhideWhenUsed/>
    <w:rsid w:val="00D60501"/>
    <w:pPr>
      <w:spacing w:before="100" w:beforeAutospacing="1" w:after="100" w:afterAutospacing="1"/>
    </w:pPr>
  </w:style>
  <w:style w:type="paragraph" w:styleId="Tekstprzypisudolnego">
    <w:name w:val="footnote text"/>
    <w:basedOn w:val="Normalny"/>
    <w:link w:val="TekstprzypisudolnegoZnak"/>
    <w:uiPriority w:val="99"/>
    <w:unhideWhenUsed/>
    <w:rsid w:val="00D60501"/>
    <w:rPr>
      <w:sz w:val="20"/>
      <w:szCs w:val="20"/>
    </w:rPr>
  </w:style>
  <w:style w:type="character" w:customStyle="1" w:styleId="TekstprzypisudolnegoZnak">
    <w:name w:val="Tekst przypisu dolnego Znak"/>
    <w:basedOn w:val="Domylnaczcionkaakapitu"/>
    <w:link w:val="Tekstprzypisudolnego"/>
    <w:uiPriority w:val="99"/>
    <w:rsid w:val="00D6050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unhideWhenUsed/>
    <w:rsid w:val="00D60501"/>
    <w:rPr>
      <w:vertAlign w:val="superscript"/>
    </w:rPr>
  </w:style>
  <w:style w:type="character" w:styleId="Hipercze">
    <w:name w:val="Hyperlink"/>
    <w:basedOn w:val="Domylnaczcionkaakapitu"/>
    <w:uiPriority w:val="99"/>
    <w:unhideWhenUsed/>
    <w:rsid w:val="00D60501"/>
    <w:rPr>
      <w:color w:val="0000FF"/>
      <w:u w:val="single"/>
    </w:rPr>
  </w:style>
  <w:style w:type="paragraph" w:styleId="Legenda">
    <w:name w:val="caption"/>
    <w:basedOn w:val="Normalny"/>
    <w:next w:val="Normalny"/>
    <w:unhideWhenUsed/>
    <w:qFormat/>
    <w:rsid w:val="00D60501"/>
    <w:pPr>
      <w:spacing w:after="200"/>
    </w:pPr>
    <w:rPr>
      <w:rFonts w:eastAsiaTheme="minorHAnsi" w:cstheme="minorBidi"/>
      <w:i/>
      <w:iCs/>
      <w:color w:val="44546A" w:themeColor="text2"/>
      <w:sz w:val="20"/>
      <w:szCs w:val="18"/>
      <w:lang w:eastAsia="en-US"/>
    </w:rPr>
  </w:style>
  <w:style w:type="paragraph" w:styleId="Stopka">
    <w:name w:val="footer"/>
    <w:basedOn w:val="Normalny"/>
    <w:link w:val="StopkaZnak"/>
    <w:uiPriority w:val="99"/>
    <w:unhideWhenUsed/>
    <w:rsid w:val="00D60501"/>
    <w:pPr>
      <w:tabs>
        <w:tab w:val="center" w:pos="4536"/>
        <w:tab w:val="right" w:pos="9072"/>
      </w:tabs>
      <w:spacing w:line="240" w:lineRule="auto"/>
    </w:pPr>
  </w:style>
  <w:style w:type="character" w:customStyle="1" w:styleId="StopkaZnak">
    <w:name w:val="Stopka Znak"/>
    <w:basedOn w:val="Domylnaczcionkaakapitu"/>
    <w:link w:val="Stopka"/>
    <w:uiPriority w:val="99"/>
    <w:rsid w:val="00D6050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6050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50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60501"/>
    <w:rPr>
      <w:sz w:val="16"/>
      <w:szCs w:val="16"/>
    </w:rPr>
  </w:style>
  <w:style w:type="paragraph" w:styleId="Tekstkomentarza">
    <w:name w:val="annotation text"/>
    <w:basedOn w:val="Normalny"/>
    <w:link w:val="TekstkomentarzaZnak"/>
    <w:uiPriority w:val="99"/>
    <w:semiHidden/>
    <w:unhideWhenUsed/>
    <w:rsid w:val="00D60501"/>
    <w:pPr>
      <w:spacing w:after="200"/>
    </w:pPr>
    <w:rPr>
      <w:sz w:val="20"/>
      <w:szCs w:val="20"/>
    </w:rPr>
  </w:style>
  <w:style w:type="character" w:customStyle="1" w:styleId="TekstkomentarzaZnak">
    <w:name w:val="Tekst komentarza Znak"/>
    <w:basedOn w:val="Domylnaczcionkaakapitu"/>
    <w:link w:val="Tekstkomentarza"/>
    <w:uiPriority w:val="99"/>
    <w:semiHidden/>
    <w:rsid w:val="00D60501"/>
    <w:rPr>
      <w:rFonts w:ascii="Times New Roman" w:eastAsia="Times New Roman" w:hAnsi="Times New Roman" w:cs="Times New Roman"/>
      <w:sz w:val="20"/>
      <w:szCs w:val="20"/>
      <w:lang w:eastAsia="pl-PL"/>
    </w:rPr>
  </w:style>
  <w:style w:type="table" w:styleId="Tabela-Siatka">
    <w:name w:val="Table Grid"/>
    <w:basedOn w:val="Standardowy"/>
    <w:uiPriority w:val="39"/>
    <w:rsid w:val="00D605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D60501"/>
  </w:style>
  <w:style w:type="character" w:styleId="UyteHipercze">
    <w:name w:val="FollowedHyperlink"/>
    <w:basedOn w:val="Domylnaczcionkaakapitu"/>
    <w:uiPriority w:val="99"/>
    <w:semiHidden/>
    <w:unhideWhenUsed/>
    <w:rsid w:val="00D60501"/>
    <w:rPr>
      <w:color w:val="954F72" w:themeColor="followedHyperlink"/>
      <w:u w:val="single"/>
    </w:rPr>
  </w:style>
  <w:style w:type="character" w:styleId="Pogrubienie">
    <w:name w:val="Strong"/>
    <w:basedOn w:val="Domylnaczcionkaakapitu"/>
    <w:uiPriority w:val="22"/>
    <w:qFormat/>
    <w:rsid w:val="00D60501"/>
    <w:rPr>
      <w:b/>
      <w:bCs/>
    </w:rPr>
  </w:style>
  <w:style w:type="character" w:customStyle="1" w:styleId="Nierozpoznanawzmianka1">
    <w:name w:val="Nierozpoznana wzmianka1"/>
    <w:basedOn w:val="Domylnaczcionkaakapitu"/>
    <w:uiPriority w:val="99"/>
    <w:rsid w:val="00D6050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60501"/>
    <w:pPr>
      <w:spacing w:after="0"/>
    </w:pPr>
    <w:rPr>
      <w:b/>
      <w:bCs/>
    </w:rPr>
  </w:style>
  <w:style w:type="character" w:customStyle="1" w:styleId="TematkomentarzaZnak">
    <w:name w:val="Temat komentarza Znak"/>
    <w:basedOn w:val="TekstkomentarzaZnak"/>
    <w:link w:val="Tematkomentarza"/>
    <w:uiPriority w:val="99"/>
    <w:semiHidden/>
    <w:rsid w:val="00D60501"/>
    <w:rPr>
      <w:rFonts w:ascii="Times New Roman" w:eastAsia="Times New Roman" w:hAnsi="Times New Roman" w:cs="Times New Roman"/>
      <w:b/>
      <w:bCs/>
      <w:sz w:val="20"/>
      <w:szCs w:val="20"/>
      <w:lang w:eastAsia="pl-PL"/>
    </w:rPr>
  </w:style>
  <w:style w:type="character" w:customStyle="1" w:styleId="IBERESPZnak">
    <w:name w:val="IBE_RESP Znak"/>
    <w:link w:val="IBERESP"/>
    <w:uiPriority w:val="99"/>
    <w:semiHidden/>
    <w:locked/>
    <w:rsid w:val="00D60501"/>
    <w:rPr>
      <w:rFonts w:ascii="Arial" w:hAnsi="Arial" w:cs="Arial"/>
      <w:szCs w:val="20"/>
      <w:lang w:val="en-US"/>
    </w:rPr>
  </w:style>
  <w:style w:type="paragraph" w:customStyle="1" w:styleId="IBERESP">
    <w:name w:val="IBE_RESP"/>
    <w:basedOn w:val="Normalny"/>
    <w:link w:val="IBERESPZnak"/>
    <w:uiPriority w:val="99"/>
    <w:semiHidden/>
    <w:rsid w:val="00D60501"/>
    <w:pPr>
      <w:spacing w:after="120"/>
    </w:pPr>
    <w:rPr>
      <w:rFonts w:ascii="Arial" w:eastAsiaTheme="minorHAnsi" w:hAnsi="Arial" w:cs="Arial"/>
      <w:sz w:val="22"/>
      <w:szCs w:val="20"/>
      <w:lang w:val="en-US" w:eastAsia="en-US"/>
    </w:rPr>
  </w:style>
  <w:style w:type="character" w:styleId="Tytuksiki">
    <w:name w:val="Book Title"/>
    <w:basedOn w:val="Domylnaczcionkaakapitu"/>
    <w:uiPriority w:val="33"/>
    <w:qFormat/>
    <w:rsid w:val="00D60501"/>
    <w:rPr>
      <w:b/>
      <w:bCs/>
      <w:i/>
      <w:iCs/>
      <w:spacing w:val="5"/>
    </w:rPr>
  </w:style>
  <w:style w:type="paragraph" w:styleId="Nagwekspisutreci">
    <w:name w:val="TOC Heading"/>
    <w:basedOn w:val="Nagwek1"/>
    <w:next w:val="Normalny"/>
    <w:uiPriority w:val="39"/>
    <w:unhideWhenUsed/>
    <w:qFormat/>
    <w:rsid w:val="00D60501"/>
    <w:pPr>
      <w:spacing w:before="480" w:line="276" w:lineRule="auto"/>
      <w:jc w:val="left"/>
      <w:outlineLvl w:val="9"/>
    </w:pPr>
    <w:rPr>
      <w:rFonts w:asciiTheme="majorHAnsi" w:hAnsiTheme="majorHAnsi"/>
      <w:bCs/>
      <w:color w:val="2E74B5" w:themeColor="accent1" w:themeShade="BF"/>
      <w:sz w:val="28"/>
      <w:szCs w:val="28"/>
    </w:rPr>
  </w:style>
  <w:style w:type="paragraph" w:styleId="Spistreci1">
    <w:name w:val="toc 1"/>
    <w:basedOn w:val="Normalny"/>
    <w:next w:val="Normalny"/>
    <w:autoRedefine/>
    <w:uiPriority w:val="39"/>
    <w:unhideWhenUsed/>
    <w:rsid w:val="00D60501"/>
    <w:pPr>
      <w:spacing w:before="120" w:after="120"/>
      <w:jc w:val="left"/>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D60501"/>
    <w:pPr>
      <w:ind w:left="240"/>
      <w:jc w:val="left"/>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D60501"/>
    <w:pPr>
      <w:ind w:left="480"/>
      <w:jc w:val="left"/>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D60501"/>
    <w:pPr>
      <w:ind w:left="720"/>
      <w:jc w:val="left"/>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D60501"/>
    <w:pPr>
      <w:ind w:left="960"/>
      <w:jc w:val="left"/>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D60501"/>
    <w:pPr>
      <w:ind w:left="1200"/>
      <w:jc w:val="left"/>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D60501"/>
    <w:pPr>
      <w:ind w:left="1440"/>
      <w:jc w:val="left"/>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D60501"/>
    <w:pPr>
      <w:ind w:left="1680"/>
      <w:jc w:val="left"/>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D60501"/>
    <w:pPr>
      <w:ind w:left="1920"/>
      <w:jc w:val="left"/>
    </w:pPr>
    <w:rPr>
      <w:rFonts w:asciiTheme="minorHAnsi" w:hAnsiTheme="minorHAnsi" w:cstheme="minorHAnsi"/>
      <w:sz w:val="18"/>
      <w:szCs w:val="18"/>
    </w:rPr>
  </w:style>
  <w:style w:type="paragraph" w:styleId="Nagwek">
    <w:name w:val="header"/>
    <w:basedOn w:val="Normalny"/>
    <w:link w:val="NagwekZnak"/>
    <w:uiPriority w:val="99"/>
    <w:unhideWhenUsed/>
    <w:rsid w:val="00D60501"/>
    <w:pPr>
      <w:tabs>
        <w:tab w:val="center" w:pos="4536"/>
        <w:tab w:val="right" w:pos="9072"/>
      </w:tabs>
      <w:spacing w:line="240" w:lineRule="auto"/>
    </w:pPr>
  </w:style>
  <w:style w:type="character" w:customStyle="1" w:styleId="NagwekZnak">
    <w:name w:val="Nagłówek Znak"/>
    <w:basedOn w:val="Domylnaczcionkaakapitu"/>
    <w:link w:val="Nagwek"/>
    <w:uiPriority w:val="99"/>
    <w:rsid w:val="00D60501"/>
    <w:rPr>
      <w:rFonts w:ascii="Times New Roman" w:eastAsia="Times New Roman" w:hAnsi="Times New Roman" w:cs="Times New Roman"/>
      <w:sz w:val="24"/>
      <w:szCs w:val="24"/>
      <w:lang w:eastAsia="pl-PL"/>
    </w:rPr>
  </w:style>
  <w:style w:type="paragraph" w:customStyle="1" w:styleId="Normal">
    <w:name w:val="[Normal]"/>
    <w:basedOn w:val="Normalny"/>
    <w:qFormat/>
    <w:rsid w:val="00D60501"/>
    <w:rPr>
      <w:rFonts w:eastAsia="Calibri"/>
    </w:rPr>
  </w:style>
  <w:style w:type="paragraph" w:customStyle="1" w:styleId="Tab">
    <w:name w:val="Tab"/>
    <w:basedOn w:val="Normalny"/>
    <w:rsid w:val="00D60501"/>
    <w:pPr>
      <w:spacing w:before="240" w:after="120" w:line="240" w:lineRule="auto"/>
      <w:ind w:left="1418" w:hanging="1418"/>
    </w:pPr>
    <w:rPr>
      <w:rFonts w:ascii="Arial" w:hAnsi="Arial"/>
      <w:sz w:val="22"/>
      <w:szCs w:val="20"/>
      <w:lang w:val="en-GB" w:eastAsia="en-US"/>
    </w:rPr>
  </w:style>
  <w:style w:type="paragraph" w:customStyle="1" w:styleId="Source">
    <w:name w:val="Source"/>
    <w:basedOn w:val="Normalny"/>
    <w:rsid w:val="00D60501"/>
    <w:pPr>
      <w:spacing w:before="60" w:after="240" w:line="240" w:lineRule="auto"/>
    </w:pPr>
    <w:rPr>
      <w:rFonts w:ascii="Arial" w:hAnsi="Arial"/>
      <w:i/>
      <w:sz w:val="18"/>
      <w:szCs w:val="18"/>
      <w:lang w:val="en-GB" w:eastAsia="en-US"/>
    </w:rPr>
  </w:style>
  <w:style w:type="character" w:styleId="Uwydatnienie">
    <w:name w:val="Emphasis"/>
    <w:basedOn w:val="Domylnaczcionkaakapitu"/>
    <w:uiPriority w:val="20"/>
    <w:qFormat/>
    <w:rsid w:val="00D60501"/>
    <w:rPr>
      <w:i/>
      <w:iCs/>
    </w:rPr>
  </w:style>
  <w:style w:type="table" w:styleId="Jasnecieniowanie">
    <w:name w:val="Light Shading"/>
    <w:basedOn w:val="Standardowy"/>
    <w:uiPriority w:val="60"/>
    <w:rsid w:val="00D605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kstprzypisukocowegoZnak">
    <w:name w:val="Tekst przypisu końcowego Znak"/>
    <w:basedOn w:val="Domylnaczcionkaakapitu"/>
    <w:link w:val="Tekstprzypisukocowego"/>
    <w:uiPriority w:val="99"/>
    <w:semiHidden/>
    <w:rsid w:val="00D60501"/>
    <w:rPr>
      <w:rFonts w:eastAsia="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60501"/>
    <w:pPr>
      <w:spacing w:line="240" w:lineRule="auto"/>
      <w:jc w:val="left"/>
    </w:pPr>
    <w:rPr>
      <w:rFonts w:asciiTheme="minorHAnsi" w:hAnsiTheme="minorHAnsi"/>
      <w:sz w:val="20"/>
      <w:szCs w:val="20"/>
    </w:rPr>
  </w:style>
  <w:style w:type="character" w:customStyle="1" w:styleId="TekstprzypisukocowegoZnak1">
    <w:name w:val="Tekst przypisu końcowego Znak1"/>
    <w:basedOn w:val="Domylnaczcionkaakapitu"/>
    <w:uiPriority w:val="99"/>
    <w:semiHidden/>
    <w:rsid w:val="00D60501"/>
    <w:rPr>
      <w:rFonts w:ascii="Times New Roman" w:eastAsia="Times New Roman" w:hAnsi="Times New Roman" w:cs="Times New Roman"/>
      <w:sz w:val="20"/>
      <w:szCs w:val="20"/>
      <w:lang w:eastAsia="pl-PL"/>
    </w:rPr>
  </w:style>
  <w:style w:type="character" w:customStyle="1" w:styleId="fn-ref">
    <w:name w:val="fn-ref"/>
    <w:basedOn w:val="Domylnaczcionkaakapitu"/>
    <w:rsid w:val="00D60501"/>
  </w:style>
  <w:style w:type="character" w:customStyle="1" w:styleId="li-px">
    <w:name w:val="li-px"/>
    <w:basedOn w:val="Domylnaczcionkaakapitu"/>
    <w:rsid w:val="00D60501"/>
  </w:style>
  <w:style w:type="character" w:customStyle="1" w:styleId="alb">
    <w:name w:val="a_lb"/>
    <w:basedOn w:val="Domylnaczcionkaakapitu"/>
    <w:rsid w:val="00D60501"/>
  </w:style>
  <w:style w:type="paragraph" w:customStyle="1" w:styleId="abcczegodotyczyzmiana">
    <w:name w:val="abcczegodotyczyzmiana"/>
    <w:basedOn w:val="Normalny"/>
    <w:rsid w:val="00D60501"/>
    <w:pPr>
      <w:spacing w:before="100" w:beforeAutospacing="1" w:after="100" w:afterAutospacing="1" w:line="240" w:lineRule="auto"/>
      <w:jc w:val="left"/>
    </w:pPr>
  </w:style>
  <w:style w:type="character" w:customStyle="1" w:styleId="st">
    <w:name w:val="st"/>
    <w:basedOn w:val="Domylnaczcionkaakapitu"/>
    <w:rsid w:val="00D60501"/>
  </w:style>
  <w:style w:type="table" w:customStyle="1" w:styleId="Tabelasiatki6kolorowaakcent51">
    <w:name w:val="Tabela siatki 6 — kolorowa — akcent 51"/>
    <w:basedOn w:val="Standardowy"/>
    <w:uiPriority w:val="51"/>
    <w:rsid w:val="00D6050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Odwoanieprzypisukocowego">
    <w:name w:val="endnote reference"/>
    <w:basedOn w:val="Domylnaczcionkaakapitu"/>
    <w:uiPriority w:val="99"/>
    <w:semiHidden/>
    <w:unhideWhenUsed/>
    <w:rsid w:val="00D60501"/>
    <w:rPr>
      <w:vertAlign w:val="superscript"/>
    </w:rPr>
  </w:style>
  <w:style w:type="character" w:customStyle="1" w:styleId="size">
    <w:name w:val="size"/>
    <w:basedOn w:val="Domylnaczcionkaakapitu"/>
    <w:rsid w:val="00D60501"/>
  </w:style>
  <w:style w:type="paragraph" w:styleId="Bezodstpw">
    <w:name w:val="No Spacing"/>
    <w:uiPriority w:val="1"/>
    <w:qFormat/>
    <w:rsid w:val="00D60501"/>
    <w:pPr>
      <w:spacing w:after="0" w:line="240" w:lineRule="auto"/>
    </w:pPr>
  </w:style>
  <w:style w:type="character" w:customStyle="1" w:styleId="gmail-pomaranczowy">
    <w:name w:val="gmail-pomaranczowy"/>
    <w:basedOn w:val="Domylnaczcionkaakapitu"/>
    <w:rsid w:val="00D60501"/>
  </w:style>
  <w:style w:type="character" w:customStyle="1" w:styleId="pomaranczowy">
    <w:name w:val="pomaranczowy"/>
    <w:basedOn w:val="Domylnaczcionkaakapitu"/>
    <w:rsid w:val="00D60501"/>
  </w:style>
  <w:style w:type="paragraph" w:styleId="HTML-wstpniesformatowany">
    <w:name w:val="HTML Preformatted"/>
    <w:basedOn w:val="Normalny"/>
    <w:link w:val="HTML-wstpniesformatowanyZnak"/>
    <w:uiPriority w:val="99"/>
    <w:unhideWhenUsed/>
    <w:rsid w:val="00D6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60501"/>
    <w:rPr>
      <w:rFonts w:ascii="Courier New" w:eastAsia="Times New Roman" w:hAnsi="Courier New" w:cs="Courier New"/>
      <w:sz w:val="20"/>
      <w:szCs w:val="20"/>
      <w:lang w:eastAsia="pl-PL"/>
    </w:rPr>
  </w:style>
  <w:style w:type="character" w:customStyle="1" w:styleId="gnkrckgcgsb">
    <w:name w:val="gnkrckgcgsb"/>
    <w:basedOn w:val="Domylnaczcionkaakapitu"/>
    <w:rsid w:val="00D60501"/>
  </w:style>
  <w:style w:type="paragraph" w:styleId="Zwykytekst">
    <w:name w:val="Plain Text"/>
    <w:basedOn w:val="Normalny"/>
    <w:link w:val="ZwykytekstZnak"/>
    <w:uiPriority w:val="99"/>
    <w:unhideWhenUsed/>
    <w:rsid w:val="00D60501"/>
    <w:pPr>
      <w:spacing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60501"/>
    <w:rPr>
      <w:rFonts w:ascii="Consolas" w:hAnsi="Consolas"/>
      <w:sz w:val="21"/>
      <w:szCs w:val="21"/>
    </w:rPr>
  </w:style>
  <w:style w:type="character" w:customStyle="1" w:styleId="gnkrckgcmsb">
    <w:name w:val="gnkrckgcmsb"/>
    <w:basedOn w:val="Domylnaczcionkaakapitu"/>
    <w:rsid w:val="00D60501"/>
  </w:style>
  <w:style w:type="character" w:customStyle="1" w:styleId="gnkrckgcmrb">
    <w:name w:val="gnkrckgcmrb"/>
    <w:basedOn w:val="Domylnaczcionkaakapitu"/>
    <w:rsid w:val="00D60501"/>
  </w:style>
  <w:style w:type="paragraph" w:customStyle="1" w:styleId="Bibliografia1">
    <w:name w:val="Bibliografia1"/>
    <w:basedOn w:val="Normalny"/>
    <w:link w:val="BibliographyZnak"/>
    <w:rsid w:val="00D60501"/>
    <w:pPr>
      <w:spacing w:line="480" w:lineRule="auto"/>
      <w:ind w:left="720" w:hanging="720"/>
    </w:pPr>
    <w:rPr>
      <w:rFonts w:asciiTheme="minorHAnsi" w:eastAsiaTheme="minorHAnsi" w:hAnsiTheme="minorHAnsi" w:cstheme="minorBidi"/>
      <w:sz w:val="22"/>
      <w:szCs w:val="22"/>
      <w:lang w:val="en-GB" w:eastAsia="en-US"/>
    </w:rPr>
  </w:style>
  <w:style w:type="character" w:customStyle="1" w:styleId="BibliographyZnak">
    <w:name w:val="Bibliography Znak"/>
    <w:basedOn w:val="Domylnaczcionkaakapitu"/>
    <w:link w:val="Bibliografia1"/>
    <w:rsid w:val="00D60501"/>
    <w:rPr>
      <w:lang w:val="en-GB"/>
    </w:rPr>
  </w:style>
  <w:style w:type="character" w:styleId="Numerstrony">
    <w:name w:val="page number"/>
    <w:basedOn w:val="Domylnaczcionkaakapitu"/>
    <w:uiPriority w:val="99"/>
    <w:semiHidden/>
    <w:unhideWhenUsed/>
    <w:rsid w:val="00D60501"/>
  </w:style>
  <w:style w:type="paragraph" w:styleId="Podtytu">
    <w:name w:val="Subtitle"/>
    <w:basedOn w:val="Normalny"/>
    <w:next w:val="Normalny"/>
    <w:link w:val="PodtytuZnak"/>
    <w:uiPriority w:val="11"/>
    <w:qFormat/>
    <w:rsid w:val="00D60501"/>
    <w:pPr>
      <w:numPr>
        <w:ilvl w:val="1"/>
      </w:numPr>
      <w:spacing w:after="160" w:line="240" w:lineRule="auto"/>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D605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chart" Target="charts/chart1.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chart" Target="charts/chart2.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1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Zeszyt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Zeszyt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MiS\GoogleDrive\MLEZAiMD_IBE%20(1)\Raport_z_rundy_pilotazowej\Rozdzia&#322;%20rynkopracowy\Wykresy_1_2_22_12%20Mi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MiS\GoogleDrive\MLEZAiMD_IBE%20(1)\Raport_z_rundy_pilotazowej\Rozdzia&#322;%20rynkopracowy\Wykresy_1_2_22_12%20Mi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63759339110388979"/>
          <c:h val="0.79567883900389769"/>
        </c:manualLayout>
      </c:layout>
      <c:lineChart>
        <c:grouping val="standard"/>
        <c:varyColors val="0"/>
        <c:ser>
          <c:idx val="0"/>
          <c:order val="0"/>
          <c:tx>
            <c:strRef>
              <c:f>Arkusz1!$C$6</c:f>
              <c:strCache>
                <c:ptCount val="1"/>
                <c:pt idx="0">
                  <c:v>Uczący się</c:v>
                </c:pt>
              </c:strCache>
            </c:strRef>
          </c:tx>
          <c:marker>
            <c:symbol val="none"/>
          </c:marker>
          <c:cat>
            <c:strRef>
              <c:f>Arkusz1!$D$5:$Y$5</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strCache>
            </c:strRef>
          </c:cat>
          <c:val>
            <c:numRef>
              <c:f>Arkusz1!$D$6:$Y$6</c:f>
              <c:numCache>
                <c:formatCode>General</c:formatCode>
                <c:ptCount val="22"/>
                <c:pt idx="0">
                  <c:v>0.28199999999999997</c:v>
                </c:pt>
                <c:pt idx="1">
                  <c:v>0.26900000000000002</c:v>
                </c:pt>
                <c:pt idx="2">
                  <c:v>0.25</c:v>
                </c:pt>
                <c:pt idx="3">
                  <c:v>0.25</c:v>
                </c:pt>
                <c:pt idx="4">
                  <c:v>0.25</c:v>
                </c:pt>
                <c:pt idx="5">
                  <c:v>0.24</c:v>
                </c:pt>
                <c:pt idx="6">
                  <c:v>0.23</c:v>
                </c:pt>
                <c:pt idx="7">
                  <c:v>0.22</c:v>
                </c:pt>
                <c:pt idx="8">
                  <c:v>0.21</c:v>
                </c:pt>
                <c:pt idx="9">
                  <c:v>0.21</c:v>
                </c:pt>
                <c:pt idx="10">
                  <c:v>0.2</c:v>
                </c:pt>
                <c:pt idx="11">
                  <c:v>0.19</c:v>
                </c:pt>
                <c:pt idx="12">
                  <c:v>0.19</c:v>
                </c:pt>
                <c:pt idx="13">
                  <c:v>0.18</c:v>
                </c:pt>
                <c:pt idx="14">
                  <c:v>0.19</c:v>
                </c:pt>
                <c:pt idx="15">
                  <c:v>0.20799999999999999</c:v>
                </c:pt>
                <c:pt idx="16">
                  <c:v>0.21</c:v>
                </c:pt>
                <c:pt idx="17">
                  <c:v>0.21</c:v>
                </c:pt>
                <c:pt idx="18">
                  <c:v>0.21</c:v>
                </c:pt>
                <c:pt idx="19">
                  <c:v>0.20599999999999999</c:v>
                </c:pt>
                <c:pt idx="20">
                  <c:v>0.2</c:v>
                </c:pt>
                <c:pt idx="21">
                  <c:v>0.19800000000000001</c:v>
                </c:pt>
              </c:numCache>
            </c:numRef>
          </c:val>
          <c:smooth val="0"/>
          <c:extLst>
            <c:ext xmlns:c16="http://schemas.microsoft.com/office/drawing/2014/chart" uri="{C3380CC4-5D6E-409C-BE32-E72D297353CC}">
              <c16:uniqueId val="{00000000-255A-4B63-8B10-CA5A1241BADB}"/>
            </c:ext>
          </c:extLst>
        </c:ser>
        <c:ser>
          <c:idx val="1"/>
          <c:order val="1"/>
          <c:tx>
            <c:strRef>
              <c:f>Arkusz1!$C$7</c:f>
              <c:strCache>
                <c:ptCount val="1"/>
                <c:pt idx="0">
                  <c:v>łączący naukę z pracą</c:v>
                </c:pt>
              </c:strCache>
            </c:strRef>
          </c:tx>
          <c:marker>
            <c:symbol val="none"/>
          </c:marker>
          <c:cat>
            <c:strRef>
              <c:f>Arkusz1!$D$5:$Y$5</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strCache>
            </c:strRef>
          </c:cat>
          <c:val>
            <c:numRef>
              <c:f>Arkusz1!$D$7:$Y$7</c:f>
              <c:numCache>
                <c:formatCode>General</c:formatCode>
                <c:ptCount val="22"/>
                <c:pt idx="0">
                  <c:v>7.4999999999999997E-2</c:v>
                </c:pt>
                <c:pt idx="1">
                  <c:v>8.6999999999999994E-2</c:v>
                </c:pt>
                <c:pt idx="2">
                  <c:v>0.1</c:v>
                </c:pt>
                <c:pt idx="3">
                  <c:v>0.12</c:v>
                </c:pt>
                <c:pt idx="4">
                  <c:v>0.12</c:v>
                </c:pt>
                <c:pt idx="5">
                  <c:v>0.12</c:v>
                </c:pt>
                <c:pt idx="6">
                  <c:v>0.13</c:v>
                </c:pt>
                <c:pt idx="7">
                  <c:v>0.12</c:v>
                </c:pt>
                <c:pt idx="8">
                  <c:v>0.12</c:v>
                </c:pt>
                <c:pt idx="9">
                  <c:v>0.12</c:v>
                </c:pt>
                <c:pt idx="10">
                  <c:v>0.13</c:v>
                </c:pt>
                <c:pt idx="11">
                  <c:v>0.13</c:v>
                </c:pt>
                <c:pt idx="12">
                  <c:v>0.14000000000000001</c:v>
                </c:pt>
                <c:pt idx="13">
                  <c:v>0.14000000000000001</c:v>
                </c:pt>
                <c:pt idx="14">
                  <c:v>0.14000000000000001</c:v>
                </c:pt>
                <c:pt idx="15">
                  <c:v>0.14799999999999999</c:v>
                </c:pt>
                <c:pt idx="16">
                  <c:v>0.15</c:v>
                </c:pt>
                <c:pt idx="17">
                  <c:v>0.14499999999999999</c:v>
                </c:pt>
                <c:pt idx="18">
                  <c:v>0.14299999999999999</c:v>
                </c:pt>
                <c:pt idx="19">
                  <c:v>0.14299999999999999</c:v>
                </c:pt>
                <c:pt idx="20">
                  <c:v>0.14599999999999999</c:v>
                </c:pt>
                <c:pt idx="21">
                  <c:v>0.14799999999999999</c:v>
                </c:pt>
              </c:numCache>
            </c:numRef>
          </c:val>
          <c:smooth val="0"/>
          <c:extLst>
            <c:ext xmlns:c16="http://schemas.microsoft.com/office/drawing/2014/chart" uri="{C3380CC4-5D6E-409C-BE32-E72D297353CC}">
              <c16:uniqueId val="{00000001-255A-4B63-8B10-CA5A1241BADB}"/>
            </c:ext>
          </c:extLst>
        </c:ser>
        <c:ser>
          <c:idx val="2"/>
          <c:order val="2"/>
          <c:tx>
            <c:strRef>
              <c:f>Arkusz1!$C$8</c:f>
              <c:strCache>
                <c:ptCount val="1"/>
                <c:pt idx="0">
                  <c:v>Pracujący </c:v>
                </c:pt>
              </c:strCache>
            </c:strRef>
          </c:tx>
          <c:marker>
            <c:symbol val="none"/>
          </c:marker>
          <c:cat>
            <c:strRef>
              <c:f>Arkusz1!$D$5:$Y$5</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strCache>
            </c:strRef>
          </c:cat>
          <c:val>
            <c:numRef>
              <c:f>Arkusz1!$D$8:$Y$8</c:f>
              <c:numCache>
                <c:formatCode>General</c:formatCode>
                <c:ptCount val="22"/>
                <c:pt idx="0">
                  <c:v>0.218</c:v>
                </c:pt>
                <c:pt idx="1">
                  <c:v>0.29399999999999998</c:v>
                </c:pt>
                <c:pt idx="2">
                  <c:v>0.37</c:v>
                </c:pt>
                <c:pt idx="3">
                  <c:v>0.41</c:v>
                </c:pt>
                <c:pt idx="4">
                  <c:v>0.43</c:v>
                </c:pt>
                <c:pt idx="5">
                  <c:v>0.45</c:v>
                </c:pt>
                <c:pt idx="6">
                  <c:v>0.46</c:v>
                </c:pt>
                <c:pt idx="7">
                  <c:v>0.47</c:v>
                </c:pt>
                <c:pt idx="8">
                  <c:v>0.49</c:v>
                </c:pt>
                <c:pt idx="9">
                  <c:v>0.51</c:v>
                </c:pt>
                <c:pt idx="10">
                  <c:v>0.52</c:v>
                </c:pt>
                <c:pt idx="11">
                  <c:v>0.54</c:v>
                </c:pt>
                <c:pt idx="12">
                  <c:v>0.55000000000000004</c:v>
                </c:pt>
                <c:pt idx="13">
                  <c:v>0.56000000000000005</c:v>
                </c:pt>
                <c:pt idx="14">
                  <c:v>0.56000000000000005</c:v>
                </c:pt>
                <c:pt idx="15">
                  <c:v>0.55000000000000004</c:v>
                </c:pt>
                <c:pt idx="16">
                  <c:v>0.55000000000000004</c:v>
                </c:pt>
                <c:pt idx="17">
                  <c:v>0.55700000000000005</c:v>
                </c:pt>
                <c:pt idx="18">
                  <c:v>0.56299999999999994</c:v>
                </c:pt>
                <c:pt idx="19">
                  <c:v>0.56999999999999995</c:v>
                </c:pt>
                <c:pt idx="20">
                  <c:v>0.58199999999999996</c:v>
                </c:pt>
                <c:pt idx="21">
                  <c:v>0.59</c:v>
                </c:pt>
              </c:numCache>
            </c:numRef>
          </c:val>
          <c:smooth val="0"/>
          <c:extLst>
            <c:ext xmlns:c16="http://schemas.microsoft.com/office/drawing/2014/chart" uri="{C3380CC4-5D6E-409C-BE32-E72D297353CC}">
              <c16:uniqueId val="{00000002-255A-4B63-8B10-CA5A1241BADB}"/>
            </c:ext>
          </c:extLst>
        </c:ser>
        <c:ser>
          <c:idx val="3"/>
          <c:order val="3"/>
          <c:tx>
            <c:strRef>
              <c:f>Arkusz1!$C$9</c:f>
              <c:strCache>
                <c:ptCount val="1"/>
                <c:pt idx="0">
                  <c:v>Nieaktywni</c:v>
                </c:pt>
              </c:strCache>
            </c:strRef>
          </c:tx>
          <c:marker>
            <c:symbol val="none"/>
          </c:marker>
          <c:cat>
            <c:strRef>
              <c:f>Arkusz1!$D$5:$Y$5</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strCache>
            </c:strRef>
          </c:cat>
          <c:val>
            <c:numRef>
              <c:f>Arkusz1!$D$9:$Y$9</c:f>
              <c:numCache>
                <c:formatCode>General</c:formatCode>
                <c:ptCount val="22"/>
                <c:pt idx="0">
                  <c:v>0.42599999999999999</c:v>
                </c:pt>
                <c:pt idx="1">
                  <c:v>0.35</c:v>
                </c:pt>
                <c:pt idx="2">
                  <c:v>0.27</c:v>
                </c:pt>
                <c:pt idx="3">
                  <c:v>0.22</c:v>
                </c:pt>
                <c:pt idx="4">
                  <c:v>0.2</c:v>
                </c:pt>
                <c:pt idx="5">
                  <c:v>0.19</c:v>
                </c:pt>
                <c:pt idx="6">
                  <c:v>0.19</c:v>
                </c:pt>
                <c:pt idx="7">
                  <c:v>0.18</c:v>
                </c:pt>
                <c:pt idx="8">
                  <c:v>0.17</c:v>
                </c:pt>
                <c:pt idx="9">
                  <c:v>0.16</c:v>
                </c:pt>
                <c:pt idx="10">
                  <c:v>0.15</c:v>
                </c:pt>
                <c:pt idx="11">
                  <c:v>0.13</c:v>
                </c:pt>
                <c:pt idx="12">
                  <c:v>0.13</c:v>
                </c:pt>
                <c:pt idx="13">
                  <c:v>0.12</c:v>
                </c:pt>
                <c:pt idx="14">
                  <c:v>0.11</c:v>
                </c:pt>
                <c:pt idx="15">
                  <c:v>9.4E-2</c:v>
                </c:pt>
                <c:pt idx="16">
                  <c:v>0.09</c:v>
                </c:pt>
                <c:pt idx="17">
                  <c:v>8.7999999999999995E-2</c:v>
                </c:pt>
                <c:pt idx="18">
                  <c:v>8.5000000000000006E-2</c:v>
                </c:pt>
                <c:pt idx="19">
                  <c:v>8.2000000000000003E-2</c:v>
                </c:pt>
                <c:pt idx="20">
                  <c:v>7.2999999999999995E-2</c:v>
                </c:pt>
                <c:pt idx="21">
                  <c:v>6.4000000000000001E-2</c:v>
                </c:pt>
              </c:numCache>
            </c:numRef>
          </c:val>
          <c:smooth val="0"/>
          <c:extLst>
            <c:ext xmlns:c16="http://schemas.microsoft.com/office/drawing/2014/chart" uri="{C3380CC4-5D6E-409C-BE32-E72D297353CC}">
              <c16:uniqueId val="{00000003-255A-4B63-8B10-CA5A1241BADB}"/>
            </c:ext>
          </c:extLst>
        </c:ser>
        <c:dLbls>
          <c:showLegendKey val="0"/>
          <c:showVal val="0"/>
          <c:showCatName val="0"/>
          <c:showSerName val="0"/>
          <c:showPercent val="0"/>
          <c:showBubbleSize val="0"/>
        </c:dLbls>
        <c:smooth val="0"/>
        <c:axId val="102699008"/>
        <c:axId val="102700544"/>
      </c:lineChart>
      <c:catAx>
        <c:axId val="102699008"/>
        <c:scaling>
          <c:orientation val="minMax"/>
        </c:scaling>
        <c:delete val="0"/>
        <c:axPos val="b"/>
        <c:numFmt formatCode="General" sourceLinked="0"/>
        <c:majorTickMark val="none"/>
        <c:minorTickMark val="none"/>
        <c:tickLblPos val="nextTo"/>
        <c:crossAx val="102700544"/>
        <c:crosses val="autoZero"/>
        <c:auto val="1"/>
        <c:lblAlgn val="ctr"/>
        <c:lblOffset val="100"/>
        <c:noMultiLvlLbl val="0"/>
      </c:catAx>
      <c:valAx>
        <c:axId val="102700544"/>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a:lstStyle/>
              <a:p>
                <a:pPr>
                  <a:defRPr b="0"/>
                </a:pPr>
                <a:r>
                  <a:rPr lang="en-US" b="0"/>
                  <a:t>% absolwentów</a:t>
                </a:r>
              </a:p>
            </c:rich>
          </c:tx>
          <c:layout/>
          <c:overlay val="0"/>
        </c:title>
        <c:numFmt formatCode="0%" sourceLinked="0"/>
        <c:majorTickMark val="none"/>
        <c:minorTickMark val="none"/>
        <c:tickLblPos val="nextTo"/>
        <c:crossAx val="102699008"/>
        <c:crosses val="autoZero"/>
        <c:crossBetween val="between"/>
      </c:valAx>
    </c:plotArea>
    <c:legend>
      <c:legendPos val="r"/>
      <c:layout>
        <c:manualLayout>
          <c:xMode val="edge"/>
          <c:yMode val="edge"/>
          <c:x val="0.78400441138129728"/>
          <c:y val="0.33501822124451197"/>
          <c:w val="0.21599553288235701"/>
          <c:h val="0.41448094850212691"/>
        </c:manualLayout>
      </c:layout>
      <c:overlay val="0"/>
      <c:txPr>
        <a:bodyPr/>
        <a:lstStyle/>
        <a:p>
          <a:pPr>
            <a:defRPr sz="900"/>
          </a:pPr>
          <a:endParaRPr lang="pl-PL"/>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Arkusz6!$C$4</c:f>
              <c:strCache>
                <c:ptCount val="1"/>
                <c:pt idx="0">
                  <c:v>szuka pracy, nie uczy się i nie pracuje</c:v>
                </c:pt>
              </c:strCache>
            </c:strRef>
          </c:tx>
          <c:marker>
            <c:symbol val="none"/>
          </c:marker>
          <c:cat>
            <c:strRef>
              <c:f>Arkusz6!$D$3:$Y$3</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strCache>
            </c:strRef>
          </c:cat>
          <c:val>
            <c:numRef>
              <c:f>Arkusz6!$D$4:$Y$4</c:f>
              <c:numCache>
                <c:formatCode>General</c:formatCode>
                <c:ptCount val="22"/>
                <c:pt idx="0">
                  <c:v>0.11799999999999999</c:v>
                </c:pt>
                <c:pt idx="1">
                  <c:v>0.11799999999999999</c:v>
                </c:pt>
                <c:pt idx="2">
                  <c:v>0.108</c:v>
                </c:pt>
                <c:pt idx="3">
                  <c:v>9.4E-2</c:v>
                </c:pt>
                <c:pt idx="4">
                  <c:v>8.4000000000000005E-2</c:v>
                </c:pt>
                <c:pt idx="5">
                  <c:v>8.1000000000000003E-2</c:v>
                </c:pt>
                <c:pt idx="6">
                  <c:v>0.08</c:v>
                </c:pt>
                <c:pt idx="7">
                  <c:v>7.4999999999999997E-2</c:v>
                </c:pt>
                <c:pt idx="8">
                  <c:v>6.9000000000000006E-2</c:v>
                </c:pt>
                <c:pt idx="9">
                  <c:v>6.6000000000000003E-2</c:v>
                </c:pt>
                <c:pt idx="10">
                  <c:v>0.06</c:v>
                </c:pt>
                <c:pt idx="11">
                  <c:v>5.0999999999999997E-2</c:v>
                </c:pt>
                <c:pt idx="12">
                  <c:v>4.7E-2</c:v>
                </c:pt>
                <c:pt idx="13">
                  <c:v>4.4999999999999998E-2</c:v>
                </c:pt>
                <c:pt idx="14">
                  <c:v>3.9E-2</c:v>
                </c:pt>
                <c:pt idx="15">
                  <c:v>3.6999999999999998E-2</c:v>
                </c:pt>
                <c:pt idx="16">
                  <c:v>3.6999999999999998E-2</c:v>
                </c:pt>
                <c:pt idx="17">
                  <c:v>3.7999999999999999E-2</c:v>
                </c:pt>
                <c:pt idx="18">
                  <c:v>4.1000000000000002E-2</c:v>
                </c:pt>
                <c:pt idx="19">
                  <c:v>4.1000000000000002E-2</c:v>
                </c:pt>
                <c:pt idx="20">
                  <c:v>3.9E-2</c:v>
                </c:pt>
                <c:pt idx="21">
                  <c:v>3.6999999999999998E-2</c:v>
                </c:pt>
              </c:numCache>
            </c:numRef>
          </c:val>
          <c:smooth val="0"/>
          <c:extLst>
            <c:ext xmlns:c16="http://schemas.microsoft.com/office/drawing/2014/chart" uri="{C3380CC4-5D6E-409C-BE32-E72D297353CC}">
              <c16:uniqueId val="{00000000-FD9E-4BB4-A421-553B9E16913F}"/>
            </c:ext>
          </c:extLst>
        </c:ser>
        <c:ser>
          <c:idx val="1"/>
          <c:order val="1"/>
          <c:tx>
            <c:strRef>
              <c:f>Arkusz6!$C$5</c:f>
              <c:strCache>
                <c:ptCount val="1"/>
                <c:pt idx="0">
                  <c:v>szuka pracy, uczy się lub pracuje</c:v>
                </c:pt>
              </c:strCache>
            </c:strRef>
          </c:tx>
          <c:marker>
            <c:symbol val="none"/>
          </c:marker>
          <c:cat>
            <c:strRef>
              <c:f>Arkusz6!$D$3:$Y$3</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strCache>
            </c:strRef>
          </c:cat>
          <c:val>
            <c:numRef>
              <c:f>Arkusz6!$D$5:$Y$5</c:f>
              <c:numCache>
                <c:formatCode>General</c:formatCode>
                <c:ptCount val="22"/>
                <c:pt idx="0">
                  <c:v>3.6999999999999998E-2</c:v>
                </c:pt>
                <c:pt idx="1">
                  <c:v>4.2999999999999997E-2</c:v>
                </c:pt>
                <c:pt idx="2">
                  <c:v>5.2999999999999999E-2</c:v>
                </c:pt>
                <c:pt idx="3">
                  <c:v>5.2999999999999999E-2</c:v>
                </c:pt>
                <c:pt idx="4">
                  <c:v>4.4999999999999998E-2</c:v>
                </c:pt>
                <c:pt idx="5">
                  <c:v>3.9E-2</c:v>
                </c:pt>
                <c:pt idx="6">
                  <c:v>3.7999999999999999E-2</c:v>
                </c:pt>
                <c:pt idx="7">
                  <c:v>3.5999999999999997E-2</c:v>
                </c:pt>
                <c:pt idx="8">
                  <c:v>3.1E-2</c:v>
                </c:pt>
                <c:pt idx="9">
                  <c:v>0.03</c:v>
                </c:pt>
                <c:pt idx="10">
                  <c:v>2.9000000000000001E-2</c:v>
                </c:pt>
                <c:pt idx="11">
                  <c:v>3.3000000000000002E-2</c:v>
                </c:pt>
                <c:pt idx="12">
                  <c:v>2.5999999999999999E-2</c:v>
                </c:pt>
                <c:pt idx="13">
                  <c:v>2.4E-2</c:v>
                </c:pt>
                <c:pt idx="14">
                  <c:v>2.8000000000000001E-2</c:v>
                </c:pt>
                <c:pt idx="15">
                  <c:v>2.5000000000000001E-2</c:v>
                </c:pt>
                <c:pt idx="16">
                  <c:v>2.3E-2</c:v>
                </c:pt>
                <c:pt idx="17">
                  <c:v>2.1000000000000001E-2</c:v>
                </c:pt>
                <c:pt idx="18">
                  <c:v>2.3E-2</c:v>
                </c:pt>
                <c:pt idx="19">
                  <c:v>2.1999999999999999E-2</c:v>
                </c:pt>
                <c:pt idx="20">
                  <c:v>2.1999999999999999E-2</c:v>
                </c:pt>
                <c:pt idx="21">
                  <c:v>1.7999999999999999E-2</c:v>
                </c:pt>
              </c:numCache>
            </c:numRef>
          </c:val>
          <c:smooth val="0"/>
          <c:extLst>
            <c:ext xmlns:c16="http://schemas.microsoft.com/office/drawing/2014/chart" uri="{C3380CC4-5D6E-409C-BE32-E72D297353CC}">
              <c16:uniqueId val="{00000001-FD9E-4BB4-A421-553B9E16913F}"/>
            </c:ext>
          </c:extLst>
        </c:ser>
        <c:ser>
          <c:idx val="2"/>
          <c:order val="2"/>
          <c:tx>
            <c:strRef>
              <c:f>Arkusz6!$C$6</c:f>
              <c:strCache>
                <c:ptCount val="1"/>
                <c:pt idx="0">
                  <c:v>nie szuka pracy, uczy się lub pracuje</c:v>
                </c:pt>
              </c:strCache>
            </c:strRef>
          </c:tx>
          <c:marker>
            <c:symbol val="none"/>
          </c:marker>
          <c:cat>
            <c:strRef>
              <c:f>Arkusz6!$D$3:$Y$3</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strCache>
            </c:strRef>
          </c:cat>
          <c:val>
            <c:numRef>
              <c:f>Arkusz6!$D$6:$Y$6</c:f>
              <c:numCache>
                <c:formatCode>General</c:formatCode>
                <c:ptCount val="22"/>
                <c:pt idx="0">
                  <c:v>0.53700000000000003</c:v>
                </c:pt>
                <c:pt idx="1">
                  <c:v>0.60699999999999998</c:v>
                </c:pt>
                <c:pt idx="2">
                  <c:v>0.67600000000000005</c:v>
                </c:pt>
                <c:pt idx="3">
                  <c:v>0.72699999999999998</c:v>
                </c:pt>
                <c:pt idx="4">
                  <c:v>0.75700000000000001</c:v>
                </c:pt>
                <c:pt idx="5">
                  <c:v>0.77100000000000002</c:v>
                </c:pt>
                <c:pt idx="6">
                  <c:v>0.77600000000000002</c:v>
                </c:pt>
                <c:pt idx="7">
                  <c:v>0.78200000000000003</c:v>
                </c:pt>
                <c:pt idx="8">
                  <c:v>0.79800000000000004</c:v>
                </c:pt>
                <c:pt idx="9">
                  <c:v>0.80600000000000005</c:v>
                </c:pt>
                <c:pt idx="10">
                  <c:v>0.82299999999999995</c:v>
                </c:pt>
                <c:pt idx="11">
                  <c:v>0.83299999999999996</c:v>
                </c:pt>
                <c:pt idx="12">
                  <c:v>0.84699999999999998</c:v>
                </c:pt>
                <c:pt idx="13">
                  <c:v>0.85399999999999998</c:v>
                </c:pt>
                <c:pt idx="14">
                  <c:v>0.86299999999999999</c:v>
                </c:pt>
                <c:pt idx="15">
                  <c:v>0.88</c:v>
                </c:pt>
                <c:pt idx="16">
                  <c:v>0.88600000000000001</c:v>
                </c:pt>
                <c:pt idx="17">
                  <c:v>0.89</c:v>
                </c:pt>
                <c:pt idx="18">
                  <c:v>0.89200000000000002</c:v>
                </c:pt>
                <c:pt idx="19">
                  <c:v>0.89700000000000002</c:v>
                </c:pt>
                <c:pt idx="20">
                  <c:v>0.90500000000000003</c:v>
                </c:pt>
                <c:pt idx="21">
                  <c:v>0.91800000000000004</c:v>
                </c:pt>
              </c:numCache>
            </c:numRef>
          </c:val>
          <c:smooth val="0"/>
          <c:extLst>
            <c:ext xmlns:c16="http://schemas.microsoft.com/office/drawing/2014/chart" uri="{C3380CC4-5D6E-409C-BE32-E72D297353CC}">
              <c16:uniqueId val="{00000002-FD9E-4BB4-A421-553B9E16913F}"/>
            </c:ext>
          </c:extLst>
        </c:ser>
        <c:ser>
          <c:idx val="3"/>
          <c:order val="3"/>
          <c:tx>
            <c:strRef>
              <c:f>Arkusz6!$C$7</c:f>
              <c:strCache>
                <c:ptCount val="1"/>
                <c:pt idx="0">
                  <c:v>nie szuka pracy, nie uczy się i nie pracuje</c:v>
                </c:pt>
              </c:strCache>
            </c:strRef>
          </c:tx>
          <c:marker>
            <c:symbol val="none"/>
          </c:marker>
          <c:cat>
            <c:strRef>
              <c:f>Arkusz6!$D$3:$Y$3</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m21</c:v>
                </c:pt>
                <c:pt idx="21">
                  <c:v>m22</c:v>
                </c:pt>
              </c:strCache>
            </c:strRef>
          </c:cat>
          <c:val>
            <c:numRef>
              <c:f>Arkusz6!$D$7:$Y$7</c:f>
              <c:numCache>
                <c:formatCode>General</c:formatCode>
                <c:ptCount val="22"/>
                <c:pt idx="0">
                  <c:v>0.308</c:v>
                </c:pt>
                <c:pt idx="1">
                  <c:v>0.23200000000000001</c:v>
                </c:pt>
                <c:pt idx="2">
                  <c:v>0.16300000000000001</c:v>
                </c:pt>
                <c:pt idx="3">
                  <c:v>0.125</c:v>
                </c:pt>
                <c:pt idx="4">
                  <c:v>0.113</c:v>
                </c:pt>
                <c:pt idx="5">
                  <c:v>0.109</c:v>
                </c:pt>
                <c:pt idx="6">
                  <c:v>0.106</c:v>
                </c:pt>
                <c:pt idx="7">
                  <c:v>0.107</c:v>
                </c:pt>
                <c:pt idx="8">
                  <c:v>0.10199999999999999</c:v>
                </c:pt>
                <c:pt idx="9">
                  <c:v>9.8000000000000004E-2</c:v>
                </c:pt>
                <c:pt idx="10">
                  <c:v>8.7999999999999995E-2</c:v>
                </c:pt>
                <c:pt idx="11">
                  <c:v>8.4000000000000005E-2</c:v>
                </c:pt>
                <c:pt idx="12">
                  <c:v>0.08</c:v>
                </c:pt>
                <c:pt idx="13">
                  <c:v>7.6999999999999999E-2</c:v>
                </c:pt>
                <c:pt idx="14">
                  <c:v>7.0000000000000007E-2</c:v>
                </c:pt>
                <c:pt idx="15">
                  <c:v>5.7000000000000002E-2</c:v>
                </c:pt>
                <c:pt idx="16">
                  <c:v>5.2999999999999999E-2</c:v>
                </c:pt>
                <c:pt idx="17">
                  <c:v>5.0999999999999997E-2</c:v>
                </c:pt>
                <c:pt idx="18">
                  <c:v>4.2999999999999997E-2</c:v>
                </c:pt>
                <c:pt idx="19">
                  <c:v>4.1000000000000002E-2</c:v>
                </c:pt>
                <c:pt idx="20">
                  <c:v>3.4000000000000002E-2</c:v>
                </c:pt>
                <c:pt idx="21">
                  <c:v>2.7E-2</c:v>
                </c:pt>
              </c:numCache>
            </c:numRef>
          </c:val>
          <c:smooth val="0"/>
          <c:extLst>
            <c:ext xmlns:c16="http://schemas.microsoft.com/office/drawing/2014/chart" uri="{C3380CC4-5D6E-409C-BE32-E72D297353CC}">
              <c16:uniqueId val="{00000003-FD9E-4BB4-A421-553B9E16913F}"/>
            </c:ext>
          </c:extLst>
        </c:ser>
        <c:dLbls>
          <c:showLegendKey val="0"/>
          <c:showVal val="0"/>
          <c:showCatName val="0"/>
          <c:showSerName val="0"/>
          <c:showPercent val="0"/>
          <c:showBubbleSize val="0"/>
        </c:dLbls>
        <c:smooth val="0"/>
        <c:axId val="102753792"/>
        <c:axId val="102755328"/>
      </c:lineChart>
      <c:catAx>
        <c:axId val="102753792"/>
        <c:scaling>
          <c:orientation val="minMax"/>
        </c:scaling>
        <c:delete val="0"/>
        <c:axPos val="b"/>
        <c:numFmt formatCode="General" sourceLinked="0"/>
        <c:majorTickMark val="none"/>
        <c:minorTickMark val="none"/>
        <c:tickLblPos val="nextTo"/>
        <c:crossAx val="102755328"/>
        <c:crosses val="autoZero"/>
        <c:auto val="1"/>
        <c:lblAlgn val="ctr"/>
        <c:lblOffset val="100"/>
        <c:noMultiLvlLbl val="0"/>
      </c:catAx>
      <c:valAx>
        <c:axId val="102755328"/>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a:lstStyle/>
              <a:p>
                <a:pPr>
                  <a:defRPr b="0"/>
                </a:pPr>
                <a:r>
                  <a:rPr lang="pl-PL" b="0"/>
                  <a:t>% absolwentów</a:t>
                </a:r>
              </a:p>
            </c:rich>
          </c:tx>
          <c:layout/>
          <c:overlay val="0"/>
        </c:title>
        <c:numFmt formatCode="0%" sourceLinked="0"/>
        <c:majorTickMark val="none"/>
        <c:minorTickMark val="none"/>
        <c:tickLblPos val="nextTo"/>
        <c:crossAx val="1027537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712523128904403E-2"/>
          <c:y val="7.3648555124639303E-2"/>
          <c:w val="0.93483041052848304"/>
          <c:h val="0.77814758229848202"/>
        </c:manualLayout>
      </c:layout>
      <c:lineChart>
        <c:grouping val="standard"/>
        <c:varyColors val="0"/>
        <c:ser>
          <c:idx val="0"/>
          <c:order val="0"/>
          <c:tx>
            <c:strRef>
              <c:f>'Arkusz1 (2)'!$E$7</c:f>
              <c:strCache>
                <c:ptCount val="1"/>
                <c:pt idx="0">
                  <c:v>Absolwenci zsz aktywni zawodowo i nieaktywni edukacyjnie</c:v>
                </c:pt>
              </c:strCache>
            </c:strRef>
          </c:tx>
          <c:marker>
            <c:symbol val="none"/>
          </c:marker>
          <c:cat>
            <c:numRef>
              <c:f>'Arkusz1 (2)'!$D$8:$D$30</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'Arkusz1 (2)'!$E$8:$E$30</c:f>
              <c:numCache>
                <c:formatCode>General</c:formatCode>
                <c:ptCount val="23"/>
                <c:pt idx="0">
                  <c:v>9.2100000000000009</c:v>
                </c:pt>
                <c:pt idx="1">
                  <c:v>25.97</c:v>
                </c:pt>
                <c:pt idx="2">
                  <c:v>14.55</c:v>
                </c:pt>
                <c:pt idx="3">
                  <c:v>15.47</c:v>
                </c:pt>
                <c:pt idx="4">
                  <c:v>7.37</c:v>
                </c:pt>
                <c:pt idx="5">
                  <c:v>3.13</c:v>
                </c:pt>
                <c:pt idx="6">
                  <c:v>2.21</c:v>
                </c:pt>
                <c:pt idx="7">
                  <c:v>2.95</c:v>
                </c:pt>
                <c:pt idx="8">
                  <c:v>0.74</c:v>
                </c:pt>
                <c:pt idx="9">
                  <c:v>2.39</c:v>
                </c:pt>
                <c:pt idx="10">
                  <c:v>1.29</c:v>
                </c:pt>
                <c:pt idx="11">
                  <c:v>2.39</c:v>
                </c:pt>
                <c:pt idx="12">
                  <c:v>1.84</c:v>
                </c:pt>
                <c:pt idx="13">
                  <c:v>1.84</c:v>
                </c:pt>
                <c:pt idx="14">
                  <c:v>1.66</c:v>
                </c:pt>
                <c:pt idx="15">
                  <c:v>1.1000000000000001</c:v>
                </c:pt>
                <c:pt idx="16">
                  <c:v>1.47</c:v>
                </c:pt>
                <c:pt idx="17">
                  <c:v>0.55000000000000004</c:v>
                </c:pt>
                <c:pt idx="18">
                  <c:v>0.92</c:v>
                </c:pt>
                <c:pt idx="19">
                  <c:v>1.1000000000000001</c:v>
                </c:pt>
                <c:pt idx="20">
                  <c:v>0.74</c:v>
                </c:pt>
                <c:pt idx="21">
                  <c:v>0.92</c:v>
                </c:pt>
                <c:pt idx="22">
                  <c:v>0.18</c:v>
                </c:pt>
              </c:numCache>
            </c:numRef>
          </c:val>
          <c:smooth val="1"/>
          <c:extLst>
            <c:ext xmlns:c16="http://schemas.microsoft.com/office/drawing/2014/chart" uri="{C3380CC4-5D6E-409C-BE32-E72D297353CC}">
              <c16:uniqueId val="{00000000-8ACB-4C7D-AE46-F4C1D7947DF4}"/>
            </c:ext>
          </c:extLst>
        </c:ser>
        <c:ser>
          <c:idx val="1"/>
          <c:order val="1"/>
          <c:tx>
            <c:strRef>
              <c:f>'Arkusz1 (2)'!$F$7</c:f>
              <c:strCache>
                <c:ptCount val="1"/>
                <c:pt idx="0">
                  <c:v>Absolwenci techników aktywni zawodowo i nieaktywni edukacyjnie</c:v>
                </c:pt>
              </c:strCache>
            </c:strRef>
          </c:tx>
          <c:spPr>
            <a:ln>
              <a:prstDash val="dash"/>
            </a:ln>
          </c:spPr>
          <c:marker>
            <c:symbol val="none"/>
          </c:marker>
          <c:cat>
            <c:numRef>
              <c:f>'Arkusz1 (2)'!$D$8:$D$30</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'Arkusz1 (2)'!$F$8:$F$30</c:f>
              <c:numCache>
                <c:formatCode>General</c:formatCode>
                <c:ptCount val="23"/>
                <c:pt idx="0">
                  <c:v>12.57</c:v>
                </c:pt>
                <c:pt idx="1">
                  <c:v>25.27</c:v>
                </c:pt>
                <c:pt idx="2">
                  <c:v>12.46</c:v>
                </c:pt>
                <c:pt idx="3">
                  <c:v>13.64</c:v>
                </c:pt>
                <c:pt idx="4">
                  <c:v>8.42</c:v>
                </c:pt>
                <c:pt idx="5">
                  <c:v>4.9800000000000004</c:v>
                </c:pt>
                <c:pt idx="6">
                  <c:v>2.14</c:v>
                </c:pt>
                <c:pt idx="7">
                  <c:v>2.25</c:v>
                </c:pt>
                <c:pt idx="8">
                  <c:v>1.9</c:v>
                </c:pt>
                <c:pt idx="9">
                  <c:v>1.54</c:v>
                </c:pt>
                <c:pt idx="10">
                  <c:v>1.19</c:v>
                </c:pt>
                <c:pt idx="11">
                  <c:v>2.4900000000000002</c:v>
                </c:pt>
                <c:pt idx="12">
                  <c:v>2.4900000000000002</c:v>
                </c:pt>
                <c:pt idx="13">
                  <c:v>0.83</c:v>
                </c:pt>
                <c:pt idx="14">
                  <c:v>0.71</c:v>
                </c:pt>
                <c:pt idx="15">
                  <c:v>1.42</c:v>
                </c:pt>
                <c:pt idx="16">
                  <c:v>1.07</c:v>
                </c:pt>
                <c:pt idx="17">
                  <c:v>0.95</c:v>
                </c:pt>
                <c:pt idx="18">
                  <c:v>0.24</c:v>
                </c:pt>
                <c:pt idx="19">
                  <c:v>0.95</c:v>
                </c:pt>
                <c:pt idx="20">
                  <c:v>0.71</c:v>
                </c:pt>
                <c:pt idx="21">
                  <c:v>0.36</c:v>
                </c:pt>
                <c:pt idx="22">
                  <c:v>1.42</c:v>
                </c:pt>
              </c:numCache>
            </c:numRef>
          </c:val>
          <c:smooth val="0"/>
          <c:extLst>
            <c:ext xmlns:c16="http://schemas.microsoft.com/office/drawing/2014/chart" uri="{C3380CC4-5D6E-409C-BE32-E72D297353CC}">
              <c16:uniqueId val="{00000001-8ACB-4C7D-AE46-F4C1D7947DF4}"/>
            </c:ext>
          </c:extLst>
        </c:ser>
        <c:dLbls>
          <c:showLegendKey val="0"/>
          <c:showVal val="0"/>
          <c:showCatName val="0"/>
          <c:showSerName val="0"/>
          <c:showPercent val="0"/>
          <c:showBubbleSize val="0"/>
        </c:dLbls>
        <c:smooth val="0"/>
        <c:axId val="102413056"/>
        <c:axId val="102414592"/>
      </c:lineChart>
      <c:catAx>
        <c:axId val="102413056"/>
        <c:scaling>
          <c:orientation val="minMax"/>
        </c:scaling>
        <c:delete val="0"/>
        <c:axPos val="b"/>
        <c:numFmt formatCode="General" sourceLinked="1"/>
        <c:majorTickMark val="out"/>
        <c:minorTickMark val="none"/>
        <c:tickLblPos val="nextTo"/>
        <c:txPr>
          <a:bodyPr/>
          <a:lstStyle/>
          <a:p>
            <a:pPr>
              <a:defRPr sz="800"/>
            </a:pPr>
            <a:endParaRPr lang="pl-PL"/>
          </a:p>
        </c:txPr>
        <c:crossAx val="102414592"/>
        <c:crosses val="autoZero"/>
        <c:auto val="1"/>
        <c:lblAlgn val="ctr"/>
        <c:lblOffset val="100"/>
        <c:noMultiLvlLbl val="0"/>
      </c:catAx>
      <c:valAx>
        <c:axId val="102414592"/>
        <c:scaling>
          <c:orientation val="minMax"/>
          <c:max val="50"/>
          <c:min val="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a:lstStyle/>
          <a:p>
            <a:pPr>
              <a:defRPr sz="800"/>
            </a:pPr>
            <a:endParaRPr lang="pl-PL"/>
          </a:p>
        </c:txPr>
        <c:crossAx val="102413056"/>
        <c:crosses val="autoZero"/>
        <c:crossBetween val="between"/>
      </c:valAx>
    </c:plotArea>
    <c:legend>
      <c:legendPos val="r"/>
      <c:layout>
        <c:manualLayout>
          <c:xMode val="edge"/>
          <c:yMode val="edge"/>
          <c:x val="0.56103344448011805"/>
          <c:y val="5.36749324244917E-2"/>
          <c:w val="0.39450169912607802"/>
          <c:h val="0.57582220132931194"/>
        </c:manualLayout>
      </c:layout>
      <c:overlay val="0"/>
      <c:txPr>
        <a:bodyPr/>
        <a:lstStyle/>
        <a:p>
          <a:pPr>
            <a:defRPr sz="800"/>
          </a:pPr>
          <a:endParaRPr lang="pl-PL"/>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301297864082801E-2"/>
          <c:y val="7.2565488137512194E-2"/>
          <c:w val="0.94839342450614705"/>
          <c:h val="0.80755390870258903"/>
        </c:manualLayout>
      </c:layout>
      <c:lineChart>
        <c:grouping val="standard"/>
        <c:varyColors val="0"/>
        <c:ser>
          <c:idx val="1"/>
          <c:order val="0"/>
          <c:tx>
            <c:strRef>
              <c:f>'Arkusz1 (2)'!$H$7</c:f>
              <c:strCache>
                <c:ptCount val="1"/>
                <c:pt idx="0">
                  <c:v>Absolwenci zsz łączący pracę z nauką</c:v>
                </c:pt>
              </c:strCache>
            </c:strRef>
          </c:tx>
          <c:spPr>
            <a:ln>
              <a:prstDash val="sysDash"/>
            </a:ln>
          </c:spPr>
          <c:marker>
            <c:symbol val="none"/>
          </c:marker>
          <c:dPt>
            <c:idx val="2"/>
            <c:bubble3D val="0"/>
            <c:spPr>
              <a:ln>
                <a:prstDash val="lgDash"/>
              </a:ln>
            </c:spPr>
            <c:extLst>
              <c:ext xmlns:c16="http://schemas.microsoft.com/office/drawing/2014/chart" uri="{C3380CC4-5D6E-409C-BE32-E72D297353CC}">
                <c16:uniqueId val="{00000001-9A7A-47CC-BBF4-2A36F080A9C7}"/>
              </c:ext>
            </c:extLst>
          </c:dPt>
          <c:cat>
            <c:numRef>
              <c:f>'Arkusz1 (2)'!$D$8:$D$30</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'Arkusz1 (2)'!$H$8:$H$30</c:f>
              <c:numCache>
                <c:formatCode>General</c:formatCode>
                <c:ptCount val="23"/>
                <c:pt idx="0">
                  <c:v>13.04</c:v>
                </c:pt>
                <c:pt idx="1">
                  <c:v>17.87</c:v>
                </c:pt>
                <c:pt idx="2">
                  <c:v>11.11</c:v>
                </c:pt>
                <c:pt idx="3">
                  <c:v>13.04</c:v>
                </c:pt>
                <c:pt idx="4">
                  <c:v>5.8</c:v>
                </c:pt>
                <c:pt idx="5">
                  <c:v>3.38</c:v>
                </c:pt>
                <c:pt idx="6">
                  <c:v>1.45</c:v>
                </c:pt>
                <c:pt idx="7">
                  <c:v>4.3499999999999996</c:v>
                </c:pt>
                <c:pt idx="8">
                  <c:v>1.93</c:v>
                </c:pt>
                <c:pt idx="9">
                  <c:v>3.86</c:v>
                </c:pt>
                <c:pt idx="10">
                  <c:v>5.31</c:v>
                </c:pt>
                <c:pt idx="11">
                  <c:v>2.9</c:v>
                </c:pt>
                <c:pt idx="12">
                  <c:v>2.42</c:v>
                </c:pt>
                <c:pt idx="13">
                  <c:v>1.93</c:v>
                </c:pt>
                <c:pt idx="14">
                  <c:v>0.48</c:v>
                </c:pt>
                <c:pt idx="15">
                  <c:v>1.93</c:v>
                </c:pt>
                <c:pt idx="16">
                  <c:v>0.97</c:v>
                </c:pt>
                <c:pt idx="17">
                  <c:v>0.97</c:v>
                </c:pt>
                <c:pt idx="18">
                  <c:v>0.48</c:v>
                </c:pt>
                <c:pt idx="19">
                  <c:v>2.42</c:v>
                </c:pt>
                <c:pt idx="20">
                  <c:v>0.48</c:v>
                </c:pt>
                <c:pt idx="21">
                  <c:v>0.97</c:v>
                </c:pt>
                <c:pt idx="22">
                  <c:v>2.9</c:v>
                </c:pt>
              </c:numCache>
            </c:numRef>
          </c:val>
          <c:smooth val="0"/>
          <c:extLst>
            <c:ext xmlns:c16="http://schemas.microsoft.com/office/drawing/2014/chart" uri="{C3380CC4-5D6E-409C-BE32-E72D297353CC}">
              <c16:uniqueId val="{00000002-9A7A-47CC-BBF4-2A36F080A9C7}"/>
            </c:ext>
          </c:extLst>
        </c:ser>
        <c:ser>
          <c:idx val="2"/>
          <c:order val="1"/>
          <c:tx>
            <c:strRef>
              <c:f>'Arkusz1 (2)'!$I$7</c:f>
              <c:strCache>
                <c:ptCount val="1"/>
                <c:pt idx="0">
                  <c:v>Absolwenci techników łączący pracę z nauką</c:v>
                </c:pt>
              </c:strCache>
            </c:strRef>
          </c:tx>
          <c:spPr>
            <a:ln>
              <a:prstDash val="sysDash"/>
            </a:ln>
          </c:spPr>
          <c:marker>
            <c:symbol val="none"/>
          </c:marker>
          <c:cat>
            <c:numRef>
              <c:f>'Arkusz1 (2)'!$D$8:$D$30</c:f>
              <c:numCache>
                <c:formatCode>General</c:formatCode>
                <c:ptCount val="2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numCache>
            </c:numRef>
          </c:cat>
          <c:val>
            <c:numRef>
              <c:f>'Arkusz1 (2)'!$I$8:$I$30</c:f>
              <c:numCache>
                <c:formatCode>General</c:formatCode>
                <c:ptCount val="23"/>
                <c:pt idx="0">
                  <c:v>16.46</c:v>
                </c:pt>
                <c:pt idx="1">
                  <c:v>19.37</c:v>
                </c:pt>
                <c:pt idx="2">
                  <c:v>5.81</c:v>
                </c:pt>
                <c:pt idx="3">
                  <c:v>8.23</c:v>
                </c:pt>
                <c:pt idx="4">
                  <c:v>9.44</c:v>
                </c:pt>
                <c:pt idx="5">
                  <c:v>3.39</c:v>
                </c:pt>
                <c:pt idx="6">
                  <c:v>3.63</c:v>
                </c:pt>
                <c:pt idx="7">
                  <c:v>2.66</c:v>
                </c:pt>
                <c:pt idx="8">
                  <c:v>3.15</c:v>
                </c:pt>
                <c:pt idx="9">
                  <c:v>2.91</c:v>
                </c:pt>
                <c:pt idx="10">
                  <c:v>2.91</c:v>
                </c:pt>
                <c:pt idx="11">
                  <c:v>3.63</c:v>
                </c:pt>
                <c:pt idx="12">
                  <c:v>1.69</c:v>
                </c:pt>
                <c:pt idx="13">
                  <c:v>4.5999999999999996</c:v>
                </c:pt>
                <c:pt idx="14">
                  <c:v>2.1800000000000002</c:v>
                </c:pt>
                <c:pt idx="15">
                  <c:v>1.21</c:v>
                </c:pt>
                <c:pt idx="16">
                  <c:v>2.1800000000000002</c:v>
                </c:pt>
                <c:pt idx="17">
                  <c:v>0.73</c:v>
                </c:pt>
                <c:pt idx="18">
                  <c:v>1.69</c:v>
                </c:pt>
                <c:pt idx="19">
                  <c:v>0.48</c:v>
                </c:pt>
                <c:pt idx="20">
                  <c:v>1.45</c:v>
                </c:pt>
                <c:pt idx="21">
                  <c:v>1.45</c:v>
                </c:pt>
                <c:pt idx="22">
                  <c:v>0.73</c:v>
                </c:pt>
              </c:numCache>
            </c:numRef>
          </c:val>
          <c:smooth val="1"/>
          <c:extLst>
            <c:ext xmlns:c16="http://schemas.microsoft.com/office/drawing/2014/chart" uri="{C3380CC4-5D6E-409C-BE32-E72D297353CC}">
              <c16:uniqueId val="{00000003-9A7A-47CC-BBF4-2A36F080A9C7}"/>
            </c:ext>
          </c:extLst>
        </c:ser>
        <c:dLbls>
          <c:showLegendKey val="0"/>
          <c:showVal val="0"/>
          <c:showCatName val="0"/>
          <c:showSerName val="0"/>
          <c:showPercent val="0"/>
          <c:showBubbleSize val="0"/>
        </c:dLbls>
        <c:smooth val="0"/>
        <c:axId val="107049344"/>
        <c:axId val="107050880"/>
      </c:lineChart>
      <c:catAx>
        <c:axId val="107049344"/>
        <c:scaling>
          <c:orientation val="minMax"/>
        </c:scaling>
        <c:delete val="0"/>
        <c:axPos val="b"/>
        <c:numFmt formatCode="General" sourceLinked="1"/>
        <c:majorTickMark val="out"/>
        <c:minorTickMark val="none"/>
        <c:tickLblPos val="nextTo"/>
        <c:txPr>
          <a:bodyPr/>
          <a:lstStyle/>
          <a:p>
            <a:pPr>
              <a:defRPr sz="800"/>
            </a:pPr>
            <a:endParaRPr lang="pl-PL"/>
          </a:p>
        </c:txPr>
        <c:crossAx val="107050880"/>
        <c:crosses val="autoZero"/>
        <c:auto val="1"/>
        <c:lblAlgn val="ctr"/>
        <c:lblOffset val="100"/>
        <c:noMultiLvlLbl val="0"/>
      </c:catAx>
      <c:valAx>
        <c:axId val="107050880"/>
        <c:scaling>
          <c:orientation val="minMax"/>
          <c:min val="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a:lstStyle/>
          <a:p>
            <a:pPr>
              <a:defRPr sz="800"/>
            </a:pPr>
            <a:endParaRPr lang="pl-PL"/>
          </a:p>
        </c:txPr>
        <c:crossAx val="107049344"/>
        <c:crosses val="autoZero"/>
        <c:crossBetween val="between"/>
      </c:valAx>
    </c:plotArea>
    <c:legend>
      <c:legendPos val="r"/>
      <c:layout>
        <c:manualLayout>
          <c:xMode val="edge"/>
          <c:yMode val="edge"/>
          <c:x val="0.56734302948973503"/>
          <c:y val="7.3087334671401397E-2"/>
          <c:w val="0.41375012333984601"/>
          <c:h val="0.550645360506407"/>
        </c:manualLayout>
      </c:layout>
      <c:overlay val="0"/>
      <c:txPr>
        <a:bodyPr/>
        <a:lstStyle/>
        <a:p>
          <a:pPr>
            <a:defRPr sz="800"/>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27</Pages>
  <Words>6472</Words>
  <Characters>38834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Zajaczkowska</dc:creator>
  <cp:keywords/>
  <dc:description/>
  <cp:lastModifiedBy>Dorota Zajaczkowska</cp:lastModifiedBy>
  <cp:revision>8</cp:revision>
  <dcterms:created xsi:type="dcterms:W3CDTF">2020-02-18T10:35:00Z</dcterms:created>
  <dcterms:modified xsi:type="dcterms:W3CDTF">2020-02-18T10:53:00Z</dcterms:modified>
</cp:coreProperties>
</file>