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BB" w:rsidRDefault="009155BB" w:rsidP="00C371FE">
      <w:pPr>
        <w:pStyle w:val="Nagwek21"/>
        <w:spacing w:before="120" w:after="120" w:line="240" w:lineRule="auto"/>
        <w:ind w:left="20"/>
        <w:rPr>
          <w:rStyle w:val="Nagwek23"/>
          <w:rFonts w:asciiTheme="minorHAnsi" w:hAnsiTheme="minorHAnsi"/>
        </w:rPr>
      </w:pPr>
      <w:bookmarkStart w:id="0" w:name="_Toc383878268"/>
    </w:p>
    <w:p w:rsidR="009155BB" w:rsidRDefault="009155BB" w:rsidP="00C371FE">
      <w:pPr>
        <w:pStyle w:val="Nagwek21"/>
        <w:spacing w:before="120" w:after="120" w:line="240" w:lineRule="auto"/>
        <w:ind w:left="20"/>
        <w:rPr>
          <w:rStyle w:val="Nagwek23"/>
          <w:rFonts w:asciiTheme="minorHAnsi" w:hAnsiTheme="minorHAnsi"/>
        </w:rPr>
      </w:pPr>
    </w:p>
    <w:p w:rsidR="009155BB" w:rsidRDefault="009155BB" w:rsidP="00C371FE">
      <w:pPr>
        <w:pStyle w:val="Nagwek21"/>
        <w:spacing w:before="120" w:after="120" w:line="240" w:lineRule="auto"/>
        <w:ind w:left="20"/>
        <w:rPr>
          <w:rStyle w:val="Nagwek23"/>
          <w:rFonts w:asciiTheme="minorHAnsi" w:hAnsiTheme="minorHAnsi"/>
        </w:rPr>
      </w:pPr>
    </w:p>
    <w:p w:rsidR="009155BB" w:rsidRDefault="009155BB" w:rsidP="00C371FE">
      <w:pPr>
        <w:spacing w:before="120" w:after="120"/>
        <w:jc w:val="center"/>
        <w:rPr>
          <w:rFonts w:asciiTheme="minorHAnsi" w:hAnsiTheme="minorHAnsi" w:cs="Arial"/>
          <w:b/>
          <w:sz w:val="36"/>
          <w:szCs w:val="36"/>
          <w:lang w:val="pl-PL"/>
        </w:rPr>
      </w:pPr>
    </w:p>
    <w:p w:rsidR="009155BB" w:rsidRDefault="009155BB" w:rsidP="00C371FE">
      <w:pPr>
        <w:spacing w:before="120" w:after="120"/>
        <w:jc w:val="center"/>
        <w:rPr>
          <w:rFonts w:asciiTheme="minorHAnsi" w:hAnsiTheme="minorHAnsi" w:cs="Arial"/>
          <w:b/>
          <w:sz w:val="36"/>
          <w:szCs w:val="36"/>
          <w:lang w:val="pl-PL"/>
        </w:rPr>
      </w:pPr>
    </w:p>
    <w:p w:rsidR="009155BB" w:rsidRDefault="009155BB" w:rsidP="00C371FE">
      <w:pPr>
        <w:spacing w:before="120" w:after="120"/>
        <w:jc w:val="center"/>
        <w:rPr>
          <w:rFonts w:asciiTheme="minorHAnsi" w:hAnsiTheme="minorHAnsi" w:cs="Arial"/>
          <w:b/>
          <w:sz w:val="36"/>
          <w:szCs w:val="36"/>
          <w:lang w:val="pl-PL"/>
        </w:rPr>
      </w:pPr>
    </w:p>
    <w:p w:rsidR="009155BB" w:rsidRDefault="009155BB" w:rsidP="00C371FE">
      <w:pPr>
        <w:spacing w:before="120" w:after="120"/>
        <w:jc w:val="center"/>
        <w:rPr>
          <w:rFonts w:asciiTheme="minorHAnsi" w:hAnsiTheme="minorHAnsi" w:cs="Arial"/>
          <w:b/>
          <w:sz w:val="36"/>
          <w:szCs w:val="36"/>
          <w:lang w:val="pl-PL"/>
        </w:rPr>
      </w:pPr>
      <w:r>
        <w:rPr>
          <w:rFonts w:asciiTheme="minorHAnsi" w:hAnsiTheme="minorHAnsi" w:cs="Arial"/>
          <w:b/>
          <w:sz w:val="36"/>
          <w:szCs w:val="36"/>
          <w:lang w:val="pl-PL"/>
        </w:rPr>
        <w:t>ERASMUS+</w:t>
      </w:r>
    </w:p>
    <w:p w:rsidR="009155BB" w:rsidRPr="00AC757E" w:rsidRDefault="009155BB" w:rsidP="00C371FE">
      <w:pPr>
        <w:spacing w:before="120" w:after="120"/>
        <w:jc w:val="center"/>
        <w:rPr>
          <w:rFonts w:asciiTheme="minorHAnsi" w:hAnsiTheme="minorHAnsi" w:cs="Arial"/>
          <w:b/>
          <w:sz w:val="36"/>
          <w:szCs w:val="36"/>
          <w:lang w:val="pl-PL"/>
        </w:rPr>
      </w:pPr>
      <w:r w:rsidRPr="00AC757E">
        <w:rPr>
          <w:rFonts w:asciiTheme="minorHAnsi" w:hAnsiTheme="minorHAnsi" w:cs="Arial"/>
          <w:b/>
          <w:sz w:val="36"/>
          <w:szCs w:val="36"/>
          <w:lang w:val="pl-PL"/>
        </w:rPr>
        <w:t>Przewodnik dla Ekspertów</w:t>
      </w:r>
    </w:p>
    <w:p w:rsidR="009155BB" w:rsidRPr="00AC757E" w:rsidRDefault="00C6612C" w:rsidP="00C371FE">
      <w:pPr>
        <w:spacing w:before="120" w:after="120"/>
        <w:jc w:val="center"/>
        <w:rPr>
          <w:rFonts w:asciiTheme="minorHAnsi" w:hAnsiTheme="minorHAnsi" w:cs="Arial"/>
          <w:b/>
          <w:sz w:val="36"/>
          <w:szCs w:val="36"/>
          <w:lang w:val="pl-PL"/>
        </w:rPr>
      </w:pPr>
      <w:r>
        <w:rPr>
          <w:rFonts w:asciiTheme="minorHAnsi" w:hAnsiTheme="minorHAnsi" w:cs="Arial"/>
          <w:b/>
          <w:sz w:val="36"/>
          <w:szCs w:val="36"/>
          <w:lang w:val="pl-PL"/>
        </w:rPr>
        <w:t>Ocena Jakościowa</w:t>
      </w:r>
    </w:p>
    <w:p w:rsidR="009155BB" w:rsidRDefault="009155BB" w:rsidP="00C371FE">
      <w:pPr>
        <w:pStyle w:val="Nagwek21"/>
        <w:spacing w:before="120" w:after="120" w:line="240" w:lineRule="auto"/>
        <w:ind w:left="20"/>
        <w:jc w:val="center"/>
        <w:rPr>
          <w:rStyle w:val="Nagwek23"/>
          <w:rFonts w:asciiTheme="minorHAnsi" w:hAnsiTheme="minorHAnsi"/>
          <w:b/>
          <w:sz w:val="32"/>
          <w:szCs w:val="32"/>
        </w:rPr>
      </w:pPr>
    </w:p>
    <w:p w:rsidR="009155BB" w:rsidRPr="009155BB" w:rsidRDefault="009155BB" w:rsidP="00C371FE">
      <w:pPr>
        <w:pStyle w:val="Nagwek21"/>
        <w:spacing w:before="120" w:after="120" w:line="240" w:lineRule="auto"/>
        <w:ind w:left="20"/>
        <w:jc w:val="center"/>
        <w:rPr>
          <w:rStyle w:val="Nagwek23"/>
          <w:rFonts w:asciiTheme="minorHAnsi" w:hAnsiTheme="minorHAnsi"/>
          <w:b/>
          <w:sz w:val="32"/>
          <w:szCs w:val="32"/>
        </w:rPr>
      </w:pPr>
      <w:r w:rsidRPr="009155BB">
        <w:rPr>
          <w:rStyle w:val="Nagwek23"/>
          <w:rFonts w:asciiTheme="minorHAnsi" w:hAnsiTheme="minorHAnsi"/>
          <w:b/>
          <w:sz w:val="32"/>
          <w:szCs w:val="32"/>
        </w:rPr>
        <w:t>[wyciąg]</w:t>
      </w:r>
    </w:p>
    <w:p w:rsidR="009155BB" w:rsidRDefault="009155BB" w:rsidP="00C371FE">
      <w:pPr>
        <w:spacing w:before="120" w:after="120"/>
        <w:jc w:val="center"/>
        <w:rPr>
          <w:rFonts w:asciiTheme="minorHAnsi" w:hAnsiTheme="minorHAnsi" w:cs="Arial"/>
          <w:b/>
          <w:sz w:val="36"/>
          <w:szCs w:val="36"/>
          <w:lang w:val="pl-PL"/>
        </w:rPr>
      </w:pPr>
    </w:p>
    <w:p w:rsidR="009155BB" w:rsidRPr="00AC757E" w:rsidRDefault="009155BB" w:rsidP="00C371FE">
      <w:pPr>
        <w:spacing w:before="120" w:after="120"/>
        <w:jc w:val="center"/>
        <w:rPr>
          <w:rFonts w:asciiTheme="minorHAnsi" w:hAnsiTheme="minorHAnsi" w:cs="Arial"/>
          <w:b/>
          <w:sz w:val="36"/>
          <w:szCs w:val="36"/>
          <w:lang w:val="pl-PL"/>
        </w:rPr>
      </w:pPr>
    </w:p>
    <w:p w:rsidR="009155BB" w:rsidRPr="00AC757E" w:rsidRDefault="009155BB" w:rsidP="00C371FE">
      <w:pPr>
        <w:spacing w:before="120" w:after="120"/>
        <w:jc w:val="center"/>
        <w:rPr>
          <w:rFonts w:asciiTheme="minorHAnsi" w:hAnsiTheme="minorHAnsi" w:cs="Arial"/>
          <w:b/>
          <w:sz w:val="36"/>
          <w:szCs w:val="36"/>
          <w:lang w:val="pl-PL"/>
        </w:rPr>
      </w:pPr>
      <w:r w:rsidRPr="00AC757E">
        <w:rPr>
          <w:rFonts w:asciiTheme="minorHAnsi" w:hAnsiTheme="minorHAnsi" w:cs="Arial"/>
          <w:b/>
          <w:sz w:val="36"/>
          <w:szCs w:val="36"/>
          <w:lang w:val="pl-PL"/>
        </w:rPr>
        <w:t xml:space="preserve">Akcje zarządzane </w:t>
      </w:r>
    </w:p>
    <w:p w:rsidR="009155BB" w:rsidRPr="00AC757E" w:rsidRDefault="009155BB" w:rsidP="00C371FE">
      <w:pPr>
        <w:spacing w:before="120" w:after="120"/>
        <w:jc w:val="center"/>
        <w:rPr>
          <w:rFonts w:asciiTheme="minorHAnsi" w:hAnsiTheme="minorHAnsi" w:cs="Arial"/>
          <w:b/>
          <w:sz w:val="36"/>
          <w:szCs w:val="36"/>
          <w:lang w:val="pl-PL"/>
        </w:rPr>
      </w:pPr>
      <w:r w:rsidRPr="00AC757E">
        <w:rPr>
          <w:rFonts w:asciiTheme="minorHAnsi" w:hAnsiTheme="minorHAnsi" w:cs="Arial"/>
          <w:b/>
          <w:sz w:val="36"/>
          <w:szCs w:val="36"/>
          <w:lang w:val="pl-PL"/>
        </w:rPr>
        <w:t>przez Narodowe Agencje</w:t>
      </w:r>
    </w:p>
    <w:p w:rsidR="009155BB" w:rsidRPr="00AC757E" w:rsidRDefault="009155BB" w:rsidP="00C371FE">
      <w:pPr>
        <w:spacing w:before="120" w:after="120"/>
        <w:jc w:val="center"/>
        <w:rPr>
          <w:rFonts w:asciiTheme="minorHAnsi" w:hAnsiTheme="minorHAnsi" w:cs="Arial"/>
          <w:b/>
          <w:sz w:val="36"/>
          <w:szCs w:val="36"/>
          <w:lang w:val="pl-PL"/>
        </w:rPr>
      </w:pPr>
    </w:p>
    <w:p w:rsidR="009155BB" w:rsidRPr="00AC757E" w:rsidRDefault="009155BB" w:rsidP="00C371FE">
      <w:pPr>
        <w:spacing w:before="120" w:after="120"/>
        <w:jc w:val="center"/>
        <w:rPr>
          <w:rFonts w:asciiTheme="minorHAnsi" w:hAnsiTheme="minorHAnsi" w:cs="Arial"/>
          <w:b/>
          <w:sz w:val="36"/>
          <w:szCs w:val="36"/>
          <w:lang w:val="pl-PL"/>
        </w:rPr>
      </w:pPr>
    </w:p>
    <w:p w:rsidR="009155BB" w:rsidRPr="00831CD9" w:rsidRDefault="009155BB" w:rsidP="00C371FE">
      <w:pPr>
        <w:spacing w:before="120" w:after="120"/>
        <w:jc w:val="center"/>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p>
    <w:p w:rsidR="009155BB" w:rsidRDefault="009155BB" w:rsidP="00C371FE">
      <w:pPr>
        <w:spacing w:before="120" w:after="120"/>
        <w:jc w:val="right"/>
        <w:rPr>
          <w:rFonts w:asciiTheme="minorHAnsi" w:hAnsiTheme="minorHAnsi" w:cs="Arial"/>
          <w:b/>
          <w:sz w:val="22"/>
          <w:szCs w:val="22"/>
          <w:lang w:val="pl-PL"/>
        </w:rPr>
      </w:pPr>
      <w:r w:rsidRPr="00831CD9">
        <w:rPr>
          <w:rFonts w:asciiTheme="minorHAnsi" w:hAnsiTheme="minorHAnsi" w:cs="Arial"/>
          <w:b/>
          <w:sz w:val="22"/>
          <w:szCs w:val="22"/>
          <w:lang w:val="pl-PL"/>
        </w:rPr>
        <w:t>wersja 1: 26/02/</w:t>
      </w:r>
      <w:r>
        <w:rPr>
          <w:rFonts w:asciiTheme="minorHAnsi" w:hAnsiTheme="minorHAnsi" w:cs="Arial"/>
          <w:b/>
          <w:sz w:val="22"/>
          <w:szCs w:val="22"/>
          <w:lang w:val="pl-PL"/>
        </w:rPr>
        <w:t>2014</w:t>
      </w:r>
    </w:p>
    <w:p w:rsidR="009155BB" w:rsidRPr="00C6612C" w:rsidRDefault="009155BB" w:rsidP="00C371FE">
      <w:pPr>
        <w:spacing w:before="120" w:after="120"/>
        <w:rPr>
          <w:rStyle w:val="Nagwek23"/>
          <w:rFonts w:asciiTheme="minorHAnsi" w:hAnsiTheme="minorHAnsi"/>
          <w:lang w:val="pl-PL"/>
        </w:rPr>
      </w:pPr>
    </w:p>
    <w:p w:rsidR="009D008C" w:rsidRPr="009155BB" w:rsidRDefault="009D008C" w:rsidP="00C371FE">
      <w:pPr>
        <w:spacing w:before="120" w:after="120"/>
        <w:rPr>
          <w:rFonts w:asciiTheme="minorHAnsi" w:hAnsiTheme="minorHAnsi" w:cs="Arial"/>
          <w:b/>
          <w:sz w:val="22"/>
          <w:szCs w:val="22"/>
          <w:lang w:val="pl-PL"/>
        </w:rPr>
      </w:pPr>
      <w:r w:rsidRPr="00C6612C">
        <w:rPr>
          <w:rStyle w:val="Nagwek23"/>
          <w:rFonts w:asciiTheme="minorHAnsi" w:hAnsiTheme="minorHAnsi"/>
          <w:lang w:val="pl-PL"/>
        </w:rPr>
        <w:t>1. Wprowadzenie</w:t>
      </w:r>
      <w:bookmarkEnd w:id="0"/>
    </w:p>
    <w:p w:rsidR="009D008C" w:rsidRPr="000D5EB5" w:rsidRDefault="009D008C" w:rsidP="00C371FE">
      <w:pPr>
        <w:pStyle w:val="Teksttreci1"/>
        <w:spacing w:before="120" w:after="120"/>
        <w:ind w:right="20"/>
        <w:rPr>
          <w:rFonts w:asciiTheme="minorHAnsi" w:hAnsiTheme="minorHAnsi" w:cs="Microsoft Sans Serif"/>
          <w:sz w:val="22"/>
          <w:szCs w:val="22"/>
        </w:rPr>
      </w:pPr>
      <w:r w:rsidRPr="000D5EB5">
        <w:rPr>
          <w:rFonts w:asciiTheme="minorHAnsi" w:hAnsiTheme="minorHAnsi"/>
          <w:sz w:val="22"/>
          <w:szCs w:val="22"/>
        </w:rPr>
        <w:t>W dużej części program Erasmus+ jest realizowany w trybie zarządzania pośredniego. Oznacza to, że Narodowe Agencje w krajach uczestniczących w programie są odpowiedzialne za wybór projektów, które uzyskają dofinansowanie na zdecentralizowanym poziomie oraz za akredytację organizacji/konsorcjów w ramach określonych akcji zdecentralizowanych. Aby zapewnić, że tylko najwyższej jakości propozycje uzyskają dofinansowanie oraz, że wyłącznie organizacje/konsorcja spełniające określone kryteria uzyskają akredytację, Narodowe Agencje oceniają wnioski</w:t>
      </w:r>
      <w:r w:rsidRPr="000D5EB5">
        <w:rPr>
          <w:rStyle w:val="Odwoanieprzypisudolnego"/>
          <w:rFonts w:asciiTheme="minorHAnsi" w:hAnsiTheme="minorHAnsi"/>
          <w:sz w:val="22"/>
          <w:szCs w:val="22"/>
        </w:rPr>
        <w:footnoteReference w:id="1"/>
      </w:r>
      <w:r w:rsidRPr="000D5EB5">
        <w:rPr>
          <w:rFonts w:asciiTheme="minorHAnsi" w:hAnsiTheme="minorHAnsi"/>
          <w:sz w:val="22"/>
          <w:szCs w:val="22"/>
        </w:rPr>
        <w:t xml:space="preserve"> </w:t>
      </w:r>
      <w:r w:rsidR="009D7E51">
        <w:rPr>
          <w:rFonts w:asciiTheme="minorHAnsi" w:hAnsiTheme="minorHAnsi"/>
          <w:sz w:val="22"/>
          <w:szCs w:val="22"/>
        </w:rPr>
        <w:t>we współpracy z niezależnymi ekspertami</w:t>
      </w:r>
      <w:r w:rsidRPr="000D5EB5">
        <w:rPr>
          <w:rFonts w:asciiTheme="minorHAnsi" w:hAnsiTheme="minorHAnsi"/>
          <w:sz w:val="22"/>
          <w:szCs w:val="22"/>
        </w:rPr>
        <w:t>. Dlatego też to Narodowe Agencje podejmują ostateczną decyzję co do wyboru lub odrzucenia wniosku i przyznania akredytacji.</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Przewodnik dla Ekspertów jest narzędziem przydatnym podczas oceny wniosków złożonych w programie Erasmus+</w:t>
      </w:r>
      <w:r w:rsidRPr="000D5EB5">
        <w:rPr>
          <w:rStyle w:val="Odwoanieprzypisudolnego"/>
          <w:rFonts w:asciiTheme="minorHAnsi" w:hAnsiTheme="minorHAnsi"/>
          <w:sz w:val="22"/>
          <w:szCs w:val="22"/>
        </w:rPr>
        <w:footnoteReference w:id="2"/>
      </w:r>
      <w:r w:rsidRPr="000D5EB5">
        <w:rPr>
          <w:rFonts w:asciiTheme="minorHAnsi" w:hAnsiTheme="minorHAnsi"/>
          <w:sz w:val="22"/>
          <w:szCs w:val="22"/>
        </w:rPr>
        <w:t>. Zawiera on instrukcje i wytyczne</w:t>
      </w:r>
      <w:r w:rsidR="009D7E51">
        <w:rPr>
          <w:rFonts w:asciiTheme="minorHAnsi" w:hAnsiTheme="minorHAnsi"/>
          <w:sz w:val="22"/>
          <w:szCs w:val="22"/>
        </w:rPr>
        <w:t xml:space="preserve"> mające</w:t>
      </w:r>
      <w:r w:rsidRPr="000D5EB5">
        <w:rPr>
          <w:rFonts w:asciiTheme="minorHAnsi" w:hAnsiTheme="minorHAnsi"/>
          <w:sz w:val="22"/>
          <w:szCs w:val="22"/>
        </w:rPr>
        <w:t xml:space="preserve"> </w:t>
      </w:r>
      <w:r w:rsidR="009D7E51">
        <w:rPr>
          <w:rFonts w:asciiTheme="minorHAnsi" w:hAnsiTheme="minorHAnsi"/>
          <w:sz w:val="22"/>
          <w:szCs w:val="22"/>
        </w:rPr>
        <w:t>na celu zapewnienie</w:t>
      </w:r>
      <w:r w:rsidRPr="000D5EB5">
        <w:rPr>
          <w:rFonts w:asciiTheme="minorHAnsi" w:hAnsiTheme="minorHAnsi"/>
          <w:sz w:val="22"/>
          <w:szCs w:val="22"/>
        </w:rPr>
        <w:t xml:space="preserve"> standaryzacji i wysokiej jakości oceny wniosków składanych w ramach akcji </w:t>
      </w:r>
      <w:proofErr w:type="spellStart"/>
      <w:r w:rsidRPr="000D5EB5">
        <w:rPr>
          <w:rFonts w:asciiTheme="minorHAnsi" w:hAnsiTheme="minorHAnsi"/>
          <w:sz w:val="22"/>
          <w:szCs w:val="22"/>
        </w:rPr>
        <w:t>programu</w:t>
      </w:r>
      <w:proofErr w:type="spellEnd"/>
      <w:r w:rsidRPr="000D5EB5">
        <w:rPr>
          <w:rFonts w:asciiTheme="minorHAnsi" w:hAnsiTheme="minorHAnsi"/>
          <w:sz w:val="22"/>
          <w:szCs w:val="22"/>
        </w:rPr>
        <w:t xml:space="preserve"> zarządzanych przez Narodowe Agencje.</w:t>
      </w:r>
    </w:p>
    <w:p w:rsidR="009D008C" w:rsidRPr="000D5EB5" w:rsidRDefault="009D008C" w:rsidP="00C371FE">
      <w:pPr>
        <w:pStyle w:val="Teksttreci51"/>
        <w:spacing w:before="120" w:after="120" w:line="240" w:lineRule="auto"/>
        <w:ind w:left="20"/>
        <w:rPr>
          <w:rFonts w:asciiTheme="minorHAnsi" w:hAnsiTheme="minorHAnsi" w:cs="Microsoft Sans Serif"/>
          <w:sz w:val="22"/>
          <w:szCs w:val="22"/>
        </w:rPr>
      </w:pPr>
      <w:r w:rsidRPr="000D5EB5">
        <w:rPr>
          <w:rFonts w:asciiTheme="minorHAnsi" w:hAnsiTheme="minorHAnsi"/>
          <w:sz w:val="22"/>
          <w:szCs w:val="22"/>
        </w:rPr>
        <w:t>Przewodnik dla Ekspertów przedstawia informacje na temat:</w:t>
      </w:r>
    </w:p>
    <w:p w:rsidR="009D008C" w:rsidRPr="000D5EB5" w:rsidRDefault="009D008C" w:rsidP="00C371FE">
      <w:pPr>
        <w:pStyle w:val="Teksttreci51"/>
        <w:numPr>
          <w:ilvl w:val="0"/>
          <w:numId w:val="4"/>
        </w:numPr>
        <w:tabs>
          <w:tab w:val="left" w:pos="732"/>
        </w:tabs>
        <w:spacing w:before="120" w:after="120" w:line="480" w:lineRule="exact"/>
        <w:rPr>
          <w:rFonts w:asciiTheme="minorHAnsi" w:hAnsiTheme="minorHAnsi"/>
          <w:sz w:val="22"/>
          <w:szCs w:val="22"/>
        </w:rPr>
      </w:pPr>
      <w:r w:rsidRPr="000D5EB5">
        <w:rPr>
          <w:rFonts w:asciiTheme="minorHAnsi" w:hAnsiTheme="minorHAnsi"/>
          <w:sz w:val="22"/>
          <w:szCs w:val="22"/>
        </w:rPr>
        <w:t>roli i mianowania ekspertów;</w:t>
      </w:r>
    </w:p>
    <w:p w:rsidR="009D008C" w:rsidRPr="000D5EB5" w:rsidRDefault="009D008C" w:rsidP="00C371FE">
      <w:pPr>
        <w:pStyle w:val="Teksttreci51"/>
        <w:numPr>
          <w:ilvl w:val="0"/>
          <w:numId w:val="4"/>
        </w:numPr>
        <w:tabs>
          <w:tab w:val="left" w:pos="732"/>
        </w:tabs>
        <w:spacing w:before="120" w:after="120" w:line="480" w:lineRule="exact"/>
        <w:rPr>
          <w:rFonts w:asciiTheme="minorHAnsi" w:hAnsiTheme="minorHAnsi"/>
          <w:sz w:val="22"/>
          <w:szCs w:val="22"/>
        </w:rPr>
      </w:pPr>
      <w:r w:rsidRPr="000D5EB5">
        <w:rPr>
          <w:rFonts w:asciiTheme="minorHAnsi" w:hAnsiTheme="minorHAnsi"/>
          <w:sz w:val="22"/>
          <w:szCs w:val="22"/>
        </w:rPr>
        <w:t>zasad oceniania;</w:t>
      </w:r>
    </w:p>
    <w:p w:rsidR="009D008C" w:rsidRPr="000D5EB5" w:rsidRDefault="009D008C" w:rsidP="00C371FE">
      <w:pPr>
        <w:pStyle w:val="Teksttreci51"/>
        <w:numPr>
          <w:ilvl w:val="0"/>
          <w:numId w:val="4"/>
        </w:numPr>
        <w:tabs>
          <w:tab w:val="left" w:pos="732"/>
        </w:tabs>
        <w:spacing w:before="120" w:after="120" w:line="480" w:lineRule="exact"/>
        <w:rPr>
          <w:rFonts w:asciiTheme="minorHAnsi" w:hAnsiTheme="minorHAnsi"/>
          <w:sz w:val="22"/>
          <w:szCs w:val="22"/>
        </w:rPr>
      </w:pPr>
      <w:r w:rsidRPr="000D5EB5">
        <w:rPr>
          <w:rFonts w:asciiTheme="minorHAnsi" w:hAnsiTheme="minorHAnsi"/>
          <w:sz w:val="22"/>
          <w:szCs w:val="22"/>
        </w:rPr>
        <w:t>praktycznych aspektów procesu oceny;</w:t>
      </w:r>
    </w:p>
    <w:p w:rsidR="009D008C" w:rsidRPr="000D5EB5" w:rsidRDefault="009D008C" w:rsidP="00C371FE">
      <w:pPr>
        <w:pStyle w:val="Teksttreci51"/>
        <w:numPr>
          <w:ilvl w:val="0"/>
          <w:numId w:val="4"/>
        </w:numPr>
        <w:tabs>
          <w:tab w:val="left" w:pos="732"/>
        </w:tabs>
        <w:spacing w:before="120" w:after="120" w:line="480" w:lineRule="exact"/>
        <w:rPr>
          <w:rFonts w:asciiTheme="minorHAnsi" w:hAnsiTheme="minorHAnsi"/>
          <w:sz w:val="22"/>
          <w:szCs w:val="22"/>
        </w:rPr>
      </w:pPr>
      <w:r w:rsidRPr="000D5EB5">
        <w:rPr>
          <w:rFonts w:asciiTheme="minorHAnsi" w:hAnsiTheme="minorHAnsi"/>
          <w:sz w:val="22"/>
          <w:szCs w:val="22"/>
        </w:rPr>
        <w:t>kryteriów oceny dotyczących każdej akcji i sektora.</w:t>
      </w:r>
    </w:p>
    <w:p w:rsidR="00C371FE" w:rsidRPr="00C371FE" w:rsidRDefault="009D008C" w:rsidP="00C371FE">
      <w:pPr>
        <w:pStyle w:val="Nagwek21"/>
        <w:spacing w:before="120" w:after="120" w:line="240" w:lineRule="auto"/>
        <w:ind w:left="23"/>
        <w:rPr>
          <w:rFonts w:asciiTheme="minorHAnsi" w:hAnsiTheme="minorHAnsi"/>
          <w:bCs w:val="0"/>
          <w:shd w:val="clear" w:color="auto" w:fill="FFFFFF"/>
        </w:rPr>
      </w:pPr>
      <w:bookmarkStart w:id="1" w:name="bookmark5"/>
      <w:bookmarkStart w:id="2" w:name="bookmark6"/>
      <w:bookmarkStart w:id="3" w:name="_Toc383878269"/>
      <w:r w:rsidRPr="009155BB">
        <w:rPr>
          <w:rStyle w:val="Nagwek23"/>
          <w:rFonts w:asciiTheme="minorHAnsi" w:hAnsiTheme="minorHAnsi"/>
          <w:b/>
        </w:rPr>
        <w:t>2. Eksperci</w:t>
      </w:r>
      <w:bookmarkEnd w:id="1"/>
      <w:bookmarkEnd w:id="2"/>
      <w:bookmarkEnd w:id="3"/>
    </w:p>
    <w:p w:rsidR="009D008C" w:rsidRPr="009155BB" w:rsidRDefault="009D008C" w:rsidP="00C371FE">
      <w:pPr>
        <w:pStyle w:val="Nagwek31"/>
        <w:spacing w:before="120" w:after="120" w:line="240" w:lineRule="auto"/>
        <w:ind w:left="23"/>
        <w:rPr>
          <w:rFonts w:asciiTheme="minorHAnsi" w:hAnsiTheme="minorHAnsi" w:cs="Microsoft Sans Serif"/>
          <w:b w:val="0"/>
          <w:sz w:val="22"/>
          <w:szCs w:val="22"/>
        </w:rPr>
      </w:pPr>
      <w:bookmarkStart w:id="4" w:name="_Toc383878270"/>
      <w:r w:rsidRPr="009155BB">
        <w:rPr>
          <w:rStyle w:val="Nagwek33"/>
          <w:rFonts w:asciiTheme="minorHAnsi" w:hAnsiTheme="minorHAnsi"/>
          <w:b/>
          <w:sz w:val="22"/>
          <w:szCs w:val="22"/>
        </w:rPr>
        <w:t>2.1 Rola ekspertów</w:t>
      </w:r>
      <w:bookmarkEnd w:id="4"/>
    </w:p>
    <w:p w:rsidR="009D008C" w:rsidRPr="000D5EB5" w:rsidRDefault="009D008C" w:rsidP="00C371FE">
      <w:pPr>
        <w:pStyle w:val="Teksttreci1"/>
        <w:spacing w:before="120" w:after="120"/>
        <w:ind w:left="23" w:right="20"/>
        <w:rPr>
          <w:rFonts w:asciiTheme="minorHAnsi" w:hAnsiTheme="minorHAnsi"/>
          <w:sz w:val="22"/>
          <w:szCs w:val="22"/>
        </w:rPr>
      </w:pPr>
      <w:r w:rsidRPr="000D5EB5">
        <w:rPr>
          <w:rFonts w:asciiTheme="minorHAnsi" w:hAnsiTheme="minorHAnsi"/>
          <w:sz w:val="22"/>
          <w:szCs w:val="22"/>
        </w:rPr>
        <w:t>Ocena i wybór wniosków o dofinansowanie opierają  się na przejrzystym systemie oceny typu</w:t>
      </w:r>
      <w:r w:rsidRPr="000D5EB5">
        <w:rPr>
          <w:rFonts w:asciiTheme="minorHAnsi" w:hAnsiTheme="minorHAnsi" w:cs="Arial"/>
          <w:sz w:val="22"/>
          <w:szCs w:val="22"/>
        </w:rPr>
        <w:t xml:space="preserve"> „</w:t>
      </w:r>
      <w:proofErr w:type="spellStart"/>
      <w:r w:rsidRPr="000D5EB5">
        <w:rPr>
          <w:rFonts w:asciiTheme="minorHAnsi" w:hAnsiTheme="minorHAnsi" w:cs="Arial"/>
          <w:sz w:val="22"/>
          <w:szCs w:val="22"/>
        </w:rPr>
        <w:t>peer</w:t>
      </w:r>
      <w:proofErr w:type="spellEnd"/>
      <w:r w:rsidRPr="000D5EB5">
        <w:rPr>
          <w:rFonts w:asciiTheme="minorHAnsi" w:hAnsiTheme="minorHAnsi" w:cs="Arial"/>
          <w:sz w:val="22"/>
          <w:szCs w:val="22"/>
        </w:rPr>
        <w:t xml:space="preserve"> </w:t>
      </w:r>
      <w:proofErr w:type="spellStart"/>
      <w:r w:rsidRPr="000D5EB5">
        <w:rPr>
          <w:rFonts w:asciiTheme="minorHAnsi" w:hAnsiTheme="minorHAnsi" w:cs="Arial"/>
          <w:sz w:val="22"/>
          <w:szCs w:val="22"/>
        </w:rPr>
        <w:t>review</w:t>
      </w:r>
      <w:proofErr w:type="spellEnd"/>
      <w:r w:rsidRPr="000D5EB5">
        <w:rPr>
          <w:rFonts w:asciiTheme="minorHAnsi" w:hAnsiTheme="minorHAnsi" w:cs="Arial"/>
          <w:sz w:val="22"/>
          <w:szCs w:val="22"/>
        </w:rPr>
        <w:t>” (tzn. ocena jakościowych aspektów wniosku pozostawiona jest niezależnym ekspertom, którzy nie powinni mieć osobistego interesu w wyniku oceny)</w:t>
      </w:r>
      <w:r w:rsidRPr="000D5EB5">
        <w:rPr>
          <w:rFonts w:asciiTheme="minorHAnsi" w:hAnsiTheme="minorHAnsi"/>
          <w:sz w:val="22"/>
          <w:szCs w:val="22"/>
        </w:rPr>
        <w:t>, który gwarantuje bezstronność i równe traktowanie wnioskodawców.</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Niezwykle ważną rolą ekspertów jest zapewnienie sprawiedliwej, bezstronnej, spójnej i trafnej oceny wniosków zgodnie z celami i priorytetami danej akcji i  sektora edukacji, szkoleń i młodzieży.</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 xml:space="preserve">Ocena ma kluczowe znaczenie w procedurze selekcji. Na podstawie oceny ekspertów </w:t>
      </w:r>
      <w:r w:rsidR="009D7E51" w:rsidRPr="000D5EB5">
        <w:rPr>
          <w:rFonts w:asciiTheme="minorHAnsi" w:hAnsiTheme="minorHAnsi"/>
          <w:sz w:val="22"/>
          <w:szCs w:val="22"/>
        </w:rPr>
        <w:t xml:space="preserve">dla każdej akcji i sektora </w:t>
      </w:r>
      <w:r w:rsidRPr="000D5EB5">
        <w:rPr>
          <w:rFonts w:asciiTheme="minorHAnsi" w:hAnsiTheme="minorHAnsi"/>
          <w:sz w:val="22"/>
          <w:szCs w:val="22"/>
        </w:rPr>
        <w:t>tworzona jest lista rankingowa wniosków o dofinansowanie, która</w:t>
      </w:r>
      <w:r w:rsidR="009D7E51">
        <w:rPr>
          <w:rFonts w:asciiTheme="minorHAnsi" w:hAnsiTheme="minorHAnsi"/>
          <w:sz w:val="22"/>
          <w:szCs w:val="22"/>
        </w:rPr>
        <w:t>,</w:t>
      </w:r>
      <w:r w:rsidRPr="000D5EB5">
        <w:rPr>
          <w:rFonts w:asciiTheme="minorHAnsi" w:hAnsiTheme="minorHAnsi"/>
          <w:sz w:val="22"/>
          <w:szCs w:val="22"/>
        </w:rPr>
        <w:t xml:space="preserve"> </w:t>
      </w:r>
      <w:r w:rsidR="009D7E51" w:rsidRPr="000D5EB5">
        <w:rPr>
          <w:rFonts w:asciiTheme="minorHAnsi" w:hAnsiTheme="minorHAnsi"/>
          <w:sz w:val="22"/>
          <w:szCs w:val="22"/>
        </w:rPr>
        <w:t>po  rekomendacji Komitetu Ewaluacyjnego</w:t>
      </w:r>
      <w:r w:rsidR="009D7E51">
        <w:rPr>
          <w:rFonts w:asciiTheme="minorHAnsi" w:hAnsiTheme="minorHAnsi"/>
          <w:sz w:val="22"/>
          <w:szCs w:val="22"/>
        </w:rPr>
        <w:t>,</w:t>
      </w:r>
      <w:r w:rsidR="009D7E51" w:rsidRPr="000D5EB5">
        <w:rPr>
          <w:rFonts w:asciiTheme="minorHAnsi" w:hAnsiTheme="minorHAnsi"/>
          <w:sz w:val="22"/>
          <w:szCs w:val="22"/>
        </w:rPr>
        <w:t xml:space="preserve"> </w:t>
      </w:r>
      <w:r w:rsidRPr="000D5EB5">
        <w:rPr>
          <w:rFonts w:asciiTheme="minorHAnsi" w:hAnsiTheme="minorHAnsi"/>
          <w:sz w:val="22"/>
          <w:szCs w:val="22"/>
        </w:rPr>
        <w:t xml:space="preserve">służy </w:t>
      </w:r>
      <w:r w:rsidR="009D7E51" w:rsidRPr="000D5EB5">
        <w:rPr>
          <w:rFonts w:asciiTheme="minorHAnsi" w:hAnsiTheme="minorHAnsi"/>
          <w:sz w:val="22"/>
          <w:szCs w:val="22"/>
        </w:rPr>
        <w:t xml:space="preserve">Narodowej Agencji </w:t>
      </w:r>
      <w:r w:rsidRPr="000D5EB5">
        <w:rPr>
          <w:rFonts w:asciiTheme="minorHAnsi" w:hAnsiTheme="minorHAnsi"/>
          <w:sz w:val="22"/>
          <w:szCs w:val="22"/>
        </w:rPr>
        <w:t xml:space="preserve">jako podstawa </w:t>
      </w:r>
      <w:r w:rsidR="009D7E51">
        <w:rPr>
          <w:rFonts w:asciiTheme="minorHAnsi" w:hAnsiTheme="minorHAnsi"/>
          <w:sz w:val="22"/>
          <w:szCs w:val="22"/>
        </w:rPr>
        <w:t>podjęcia</w:t>
      </w:r>
      <w:r w:rsidRPr="000D5EB5">
        <w:rPr>
          <w:rFonts w:asciiTheme="minorHAnsi" w:hAnsiTheme="minorHAnsi"/>
          <w:sz w:val="22"/>
          <w:szCs w:val="22"/>
        </w:rPr>
        <w:t xml:space="preserve"> decy</w:t>
      </w:r>
      <w:r w:rsidR="009D7E51">
        <w:rPr>
          <w:rFonts w:asciiTheme="minorHAnsi" w:hAnsiTheme="minorHAnsi"/>
          <w:sz w:val="22"/>
          <w:szCs w:val="22"/>
        </w:rPr>
        <w:t>zji o udzieleniu dofinansowania</w:t>
      </w:r>
      <w:r w:rsidRPr="000D5EB5">
        <w:rPr>
          <w:rFonts w:asciiTheme="minorHAnsi" w:hAnsiTheme="minorHAnsi"/>
          <w:sz w:val="22"/>
          <w:szCs w:val="22"/>
        </w:rPr>
        <w:t>.</w:t>
      </w:r>
    </w:p>
    <w:p w:rsidR="009D008C" w:rsidRPr="000D5EB5"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Ocena wniosków o akredytację  skutkuje decyzją o przyznaniu lub  nie przyznaniu akredytacji.</w:t>
      </w:r>
      <w:bookmarkStart w:id="5" w:name="bookmark9"/>
    </w:p>
    <w:p w:rsidR="009D008C"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Na podstawie komentarzy ekspertów Narodowa Agencja przedstawia wnioskodawcom informacje zwrotne n</w:t>
      </w:r>
      <w:r w:rsidR="009D7E51">
        <w:rPr>
          <w:rFonts w:asciiTheme="minorHAnsi" w:hAnsiTheme="minorHAnsi"/>
          <w:sz w:val="22"/>
          <w:szCs w:val="22"/>
        </w:rPr>
        <w:t xml:space="preserve">a </w:t>
      </w:r>
      <w:r w:rsidRPr="000D5EB5">
        <w:rPr>
          <w:rFonts w:asciiTheme="minorHAnsi" w:hAnsiTheme="minorHAnsi"/>
          <w:sz w:val="22"/>
          <w:szCs w:val="22"/>
        </w:rPr>
        <w:t>t</w:t>
      </w:r>
      <w:r w:rsidR="009D7E51">
        <w:rPr>
          <w:rFonts w:asciiTheme="minorHAnsi" w:hAnsiTheme="minorHAnsi"/>
          <w:sz w:val="22"/>
          <w:szCs w:val="22"/>
        </w:rPr>
        <w:t>emat</w:t>
      </w:r>
      <w:r w:rsidRPr="000D5EB5">
        <w:rPr>
          <w:rFonts w:asciiTheme="minorHAnsi" w:hAnsiTheme="minorHAnsi"/>
          <w:sz w:val="22"/>
          <w:szCs w:val="22"/>
        </w:rPr>
        <w:t xml:space="preserve"> jakości wniosków (por. rozdział 4)</w:t>
      </w:r>
      <w:bookmarkEnd w:id="5"/>
      <w:r w:rsidR="009D7E51">
        <w:rPr>
          <w:rFonts w:asciiTheme="minorHAnsi" w:hAnsiTheme="minorHAnsi"/>
          <w:sz w:val="22"/>
          <w:szCs w:val="22"/>
        </w:rPr>
        <w:t>.</w:t>
      </w:r>
    </w:p>
    <w:p w:rsidR="00C371FE" w:rsidRDefault="00C371FE" w:rsidP="00C371FE">
      <w:pPr>
        <w:pStyle w:val="Teksttreci1"/>
        <w:spacing w:before="120" w:after="120"/>
        <w:ind w:left="20" w:right="20"/>
        <w:rPr>
          <w:rFonts w:asciiTheme="minorHAnsi" w:hAnsiTheme="minorHAnsi"/>
          <w:sz w:val="22"/>
          <w:szCs w:val="22"/>
        </w:rPr>
      </w:pPr>
    </w:p>
    <w:p w:rsidR="00C371FE" w:rsidRDefault="009D008C" w:rsidP="00C371FE">
      <w:pPr>
        <w:pStyle w:val="Nagwek31"/>
        <w:spacing w:before="120" w:after="120" w:line="262" w:lineRule="exact"/>
        <w:rPr>
          <w:rStyle w:val="Nagwek33"/>
          <w:rFonts w:asciiTheme="minorHAnsi" w:hAnsiTheme="minorHAnsi"/>
          <w:b/>
          <w:sz w:val="22"/>
          <w:szCs w:val="22"/>
        </w:rPr>
      </w:pPr>
      <w:bookmarkStart w:id="6" w:name="_Toc383878271"/>
      <w:r w:rsidRPr="00C6612C">
        <w:rPr>
          <w:rStyle w:val="Nagwek33"/>
          <w:rFonts w:asciiTheme="minorHAnsi" w:hAnsiTheme="minorHAnsi"/>
          <w:b/>
          <w:sz w:val="22"/>
          <w:szCs w:val="22"/>
        </w:rPr>
        <w:t>2.2 Mianowanie ekspertów, zasady postępowania i konflikt interesów</w:t>
      </w:r>
      <w:bookmarkEnd w:id="6"/>
    </w:p>
    <w:p w:rsidR="009D008C" w:rsidRPr="00C371FE" w:rsidRDefault="009D008C" w:rsidP="00C371FE">
      <w:pPr>
        <w:pStyle w:val="Nagwek31"/>
        <w:spacing w:before="120" w:after="120" w:line="262" w:lineRule="exact"/>
        <w:jc w:val="both"/>
        <w:rPr>
          <w:rFonts w:asciiTheme="minorHAnsi" w:hAnsiTheme="minorHAnsi"/>
          <w:b w:val="0"/>
          <w:bCs w:val="0"/>
          <w:sz w:val="22"/>
          <w:szCs w:val="22"/>
          <w:shd w:val="clear" w:color="auto" w:fill="FFFFFF"/>
        </w:rPr>
      </w:pPr>
      <w:r w:rsidRPr="00C371FE">
        <w:rPr>
          <w:rFonts w:asciiTheme="minorHAnsi" w:hAnsiTheme="minorHAnsi"/>
          <w:b w:val="0"/>
          <w:sz w:val="22"/>
          <w:szCs w:val="22"/>
        </w:rPr>
        <w:t xml:space="preserve">Eksperci mianowani są na podstawie posiadanych umiejętności i wiedzy w obszarach i sektorach kształcenia, </w:t>
      </w:r>
      <w:proofErr w:type="spellStart"/>
      <w:r w:rsidRPr="00C371FE">
        <w:rPr>
          <w:rFonts w:asciiTheme="minorHAnsi" w:hAnsiTheme="minorHAnsi"/>
          <w:b w:val="0"/>
          <w:sz w:val="22"/>
          <w:szCs w:val="22"/>
        </w:rPr>
        <w:t>szkolenia</w:t>
      </w:r>
      <w:proofErr w:type="spellEnd"/>
      <w:r w:rsidRPr="00C371FE">
        <w:rPr>
          <w:rFonts w:asciiTheme="minorHAnsi" w:hAnsiTheme="minorHAnsi"/>
          <w:b w:val="0"/>
          <w:sz w:val="22"/>
          <w:szCs w:val="22"/>
        </w:rPr>
        <w:t xml:space="preserve"> i młodzieży, w których będą dokonywać oceny wniosków.</w:t>
      </w:r>
    </w:p>
    <w:p w:rsidR="009D008C" w:rsidRPr="000D5EB5" w:rsidRDefault="009D7E51" w:rsidP="00C371FE">
      <w:pPr>
        <w:pStyle w:val="Teksttreci51"/>
        <w:spacing w:before="120" w:after="120" w:line="243" w:lineRule="exact"/>
        <w:ind w:left="20" w:right="20"/>
        <w:jc w:val="both"/>
        <w:rPr>
          <w:rFonts w:asciiTheme="minorHAnsi" w:hAnsiTheme="minorHAnsi"/>
          <w:sz w:val="22"/>
          <w:szCs w:val="22"/>
        </w:rPr>
      </w:pPr>
      <w:r>
        <w:rPr>
          <w:rFonts w:asciiTheme="minorHAnsi" w:hAnsiTheme="minorHAnsi"/>
          <w:sz w:val="22"/>
          <w:szCs w:val="22"/>
        </w:rPr>
        <w:t xml:space="preserve">Aby zapewnić </w:t>
      </w:r>
      <w:r w:rsidR="009D008C" w:rsidRPr="000D5EB5">
        <w:rPr>
          <w:rFonts w:asciiTheme="minorHAnsi" w:hAnsiTheme="minorHAnsi"/>
          <w:sz w:val="22"/>
          <w:szCs w:val="22"/>
        </w:rPr>
        <w:t>niezależność</w:t>
      </w:r>
      <w:r w:rsidRPr="009D7E51">
        <w:rPr>
          <w:rFonts w:asciiTheme="minorHAnsi" w:hAnsiTheme="minorHAnsi"/>
          <w:sz w:val="22"/>
          <w:szCs w:val="22"/>
        </w:rPr>
        <w:t xml:space="preserve"> </w:t>
      </w:r>
      <w:r w:rsidRPr="000D5EB5">
        <w:rPr>
          <w:rFonts w:asciiTheme="minorHAnsi" w:hAnsiTheme="minorHAnsi"/>
          <w:sz w:val="22"/>
          <w:szCs w:val="22"/>
        </w:rPr>
        <w:t>ekspertów</w:t>
      </w:r>
      <w:r w:rsidR="009D008C" w:rsidRPr="000D5EB5">
        <w:rPr>
          <w:rFonts w:asciiTheme="minorHAnsi" w:hAnsiTheme="minorHAnsi"/>
          <w:sz w:val="22"/>
          <w:szCs w:val="22"/>
        </w:rPr>
        <w:t>,</w:t>
      </w:r>
      <w:r>
        <w:rPr>
          <w:rFonts w:asciiTheme="minorHAnsi" w:hAnsiTheme="minorHAnsi"/>
          <w:sz w:val="22"/>
          <w:szCs w:val="22"/>
        </w:rPr>
        <w:t xml:space="preserve"> ich</w:t>
      </w:r>
      <w:r w:rsidR="009D008C" w:rsidRPr="000D5EB5">
        <w:rPr>
          <w:rFonts w:asciiTheme="minorHAnsi" w:hAnsiTheme="minorHAnsi"/>
          <w:sz w:val="22"/>
          <w:szCs w:val="22"/>
        </w:rPr>
        <w:t xml:space="preserve"> nazwiska nie są ujawniane. </w:t>
      </w:r>
    </w:p>
    <w:p w:rsidR="009D008C" w:rsidRPr="000D5EB5" w:rsidRDefault="009D008C" w:rsidP="00C371FE">
      <w:pPr>
        <w:pStyle w:val="Teksttreci51"/>
        <w:spacing w:before="120" w:after="120" w:line="243" w:lineRule="exact"/>
        <w:ind w:left="20" w:right="20"/>
        <w:jc w:val="both"/>
        <w:rPr>
          <w:rFonts w:asciiTheme="minorHAnsi" w:hAnsiTheme="minorHAnsi" w:cs="Microsoft Sans Serif"/>
          <w:sz w:val="22"/>
          <w:szCs w:val="22"/>
        </w:rPr>
      </w:pPr>
      <w:r w:rsidRPr="000D5EB5">
        <w:rPr>
          <w:rFonts w:asciiTheme="minorHAnsi" w:hAnsiTheme="minorHAnsi"/>
          <w:sz w:val="22"/>
          <w:szCs w:val="22"/>
        </w:rPr>
        <w:t>Eksperci zobowiązani są do pr</w:t>
      </w:r>
      <w:r w:rsidR="009D7E51">
        <w:rPr>
          <w:rFonts w:asciiTheme="minorHAnsi" w:hAnsiTheme="minorHAnsi"/>
          <w:sz w:val="22"/>
          <w:szCs w:val="22"/>
        </w:rPr>
        <w:t>zepro</w:t>
      </w:r>
      <w:r w:rsidRPr="000D5EB5">
        <w:rPr>
          <w:rFonts w:asciiTheme="minorHAnsi" w:hAnsiTheme="minorHAnsi"/>
          <w:sz w:val="22"/>
          <w:szCs w:val="22"/>
        </w:rPr>
        <w:t>wadzenia oceny zgodnie z najwyższymi standardami jakości i w terminach uzgodnionych z Narodową Agencją.</w:t>
      </w:r>
    </w:p>
    <w:p w:rsidR="009D008C" w:rsidRPr="000D5EB5" w:rsidRDefault="009D008C" w:rsidP="00C371FE">
      <w:pPr>
        <w:pStyle w:val="Teksttreci51"/>
        <w:spacing w:before="120" w:after="120" w:line="243" w:lineRule="exact"/>
        <w:ind w:left="20" w:right="20"/>
        <w:jc w:val="both"/>
        <w:rPr>
          <w:rFonts w:asciiTheme="minorHAnsi" w:hAnsiTheme="minorHAnsi"/>
          <w:sz w:val="22"/>
          <w:szCs w:val="22"/>
        </w:rPr>
      </w:pPr>
      <w:r w:rsidRPr="000D5EB5">
        <w:rPr>
          <w:rFonts w:asciiTheme="minorHAnsi" w:hAnsiTheme="minorHAnsi"/>
          <w:sz w:val="22"/>
          <w:szCs w:val="22"/>
        </w:rPr>
        <w:t>Akceptując nominację Narodowej Agencji, eksperci zobowiązują się do przestrzegania zasad postępowania wyszczególnionych w piśmie potwierdzającym mianowanie l</w:t>
      </w:r>
      <w:r w:rsidR="009D7E51">
        <w:rPr>
          <w:rFonts w:asciiTheme="minorHAnsi" w:hAnsiTheme="minorHAnsi"/>
          <w:sz w:val="22"/>
          <w:szCs w:val="22"/>
        </w:rPr>
        <w:t>ub w umowie zawartej z Narodową Agencją</w:t>
      </w:r>
      <w:r w:rsidRPr="000D5EB5">
        <w:rPr>
          <w:rFonts w:asciiTheme="minorHAnsi" w:hAnsiTheme="minorHAnsi"/>
          <w:sz w:val="22"/>
          <w:szCs w:val="22"/>
        </w:rPr>
        <w:t>.</w:t>
      </w:r>
    </w:p>
    <w:p w:rsidR="009D008C" w:rsidRPr="000D5EB5" w:rsidRDefault="009D008C" w:rsidP="00C371FE">
      <w:pPr>
        <w:pStyle w:val="Teksttreci51"/>
        <w:spacing w:before="120" w:after="120" w:line="243" w:lineRule="exact"/>
        <w:ind w:left="20" w:right="20"/>
        <w:jc w:val="both"/>
        <w:rPr>
          <w:rFonts w:asciiTheme="minorHAnsi" w:hAnsiTheme="minorHAnsi"/>
          <w:sz w:val="22"/>
          <w:szCs w:val="22"/>
        </w:rPr>
      </w:pPr>
      <w:r w:rsidRPr="000D5EB5">
        <w:rPr>
          <w:rFonts w:asciiTheme="minorHAnsi" w:hAnsiTheme="minorHAnsi"/>
          <w:sz w:val="22"/>
          <w:szCs w:val="22"/>
        </w:rPr>
        <w:t>Wszystkie informacje związane z procesem oceny są ściśle poufne. Dlatego ekspertom nie wolno ujawniać żadnych informacji n</w:t>
      </w:r>
      <w:r w:rsidR="009D7E51">
        <w:rPr>
          <w:rFonts w:asciiTheme="minorHAnsi" w:hAnsiTheme="minorHAnsi"/>
          <w:sz w:val="22"/>
          <w:szCs w:val="22"/>
        </w:rPr>
        <w:t xml:space="preserve">a </w:t>
      </w:r>
      <w:r w:rsidRPr="000D5EB5">
        <w:rPr>
          <w:rFonts w:asciiTheme="minorHAnsi" w:hAnsiTheme="minorHAnsi"/>
          <w:sz w:val="22"/>
          <w:szCs w:val="22"/>
        </w:rPr>
        <w:t>t</w:t>
      </w:r>
      <w:r w:rsidR="009D7E51">
        <w:rPr>
          <w:rFonts w:asciiTheme="minorHAnsi" w:hAnsiTheme="minorHAnsi"/>
          <w:sz w:val="22"/>
          <w:szCs w:val="22"/>
        </w:rPr>
        <w:t>emat złożonych wniosków,</w:t>
      </w:r>
      <w:r w:rsidRPr="000D5EB5">
        <w:rPr>
          <w:rFonts w:asciiTheme="minorHAnsi" w:hAnsiTheme="minorHAnsi"/>
          <w:sz w:val="22"/>
          <w:szCs w:val="22"/>
        </w:rPr>
        <w:t xml:space="preserve"> wyników oceny czy rezultatów selekcji.</w:t>
      </w:r>
      <w:r w:rsidRPr="000D5EB5">
        <w:rPr>
          <w:rStyle w:val="Odwoanieprzypisudolnego"/>
          <w:rFonts w:asciiTheme="minorHAnsi" w:hAnsiTheme="minorHAnsi"/>
          <w:sz w:val="22"/>
          <w:szCs w:val="22"/>
        </w:rPr>
        <w:footnoteReference w:id="3"/>
      </w:r>
    </w:p>
    <w:p w:rsidR="009D008C" w:rsidRPr="000D5EB5"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W zależności o</w:t>
      </w:r>
      <w:r w:rsidR="009D7E51">
        <w:rPr>
          <w:rFonts w:asciiTheme="minorHAnsi" w:hAnsiTheme="minorHAnsi"/>
          <w:sz w:val="22"/>
          <w:szCs w:val="22"/>
        </w:rPr>
        <w:t xml:space="preserve">d akcji i wnioskowanego </w:t>
      </w:r>
      <w:r w:rsidRPr="000D5EB5">
        <w:rPr>
          <w:rFonts w:asciiTheme="minorHAnsi" w:hAnsiTheme="minorHAnsi"/>
          <w:sz w:val="22"/>
          <w:szCs w:val="22"/>
        </w:rPr>
        <w:t>dofinansowania, wnioski będą oceniane przez jednego lub dwóch wewnętrznych lub zewnętrznych ekspertów współpracujących z Narodową Agencją. Eksperci mogą pochodzić z innego kraju uczestniczącego w programie Erasmus+.</w:t>
      </w:r>
    </w:p>
    <w:p w:rsidR="009D008C" w:rsidRPr="000D5EB5" w:rsidRDefault="009D008C" w:rsidP="00C371FE">
      <w:pPr>
        <w:pStyle w:val="Teksttreci1"/>
        <w:spacing w:before="120" w:after="120" w:line="240" w:lineRule="exact"/>
        <w:ind w:left="20" w:right="20"/>
        <w:rPr>
          <w:rFonts w:asciiTheme="minorHAnsi" w:hAnsiTheme="minorHAnsi" w:cs="Microsoft Sans Serif"/>
          <w:sz w:val="22"/>
          <w:szCs w:val="22"/>
        </w:rPr>
      </w:pPr>
      <w:r w:rsidRPr="000D5EB5">
        <w:rPr>
          <w:rFonts w:asciiTheme="minorHAnsi" w:hAnsiTheme="minorHAnsi"/>
          <w:sz w:val="22"/>
          <w:szCs w:val="22"/>
        </w:rPr>
        <w:t>Eksperci nie mogą być w sytuacji konfliktu interesów</w:t>
      </w:r>
      <w:r w:rsidRPr="000D5EB5">
        <w:rPr>
          <w:rStyle w:val="Odwoanieprzypisudolnego"/>
          <w:rFonts w:asciiTheme="minorHAnsi" w:hAnsiTheme="minorHAnsi"/>
          <w:sz w:val="22"/>
          <w:szCs w:val="22"/>
        </w:rPr>
        <w:footnoteReference w:id="4"/>
      </w:r>
      <w:r w:rsidRPr="000D5EB5">
        <w:rPr>
          <w:rFonts w:asciiTheme="minorHAnsi" w:hAnsiTheme="minorHAnsi"/>
          <w:sz w:val="22"/>
          <w:szCs w:val="22"/>
        </w:rPr>
        <w:t xml:space="preserve"> w stosunku do ocenianych wniosków. </w:t>
      </w:r>
      <w:r w:rsidR="009D7E51">
        <w:rPr>
          <w:rFonts w:asciiTheme="minorHAnsi" w:hAnsiTheme="minorHAnsi"/>
          <w:sz w:val="22"/>
          <w:szCs w:val="22"/>
        </w:rPr>
        <w:t>Aby go</w:t>
      </w:r>
      <w:r w:rsidRPr="000D5EB5">
        <w:rPr>
          <w:rFonts w:asciiTheme="minorHAnsi" w:hAnsiTheme="minorHAnsi"/>
          <w:sz w:val="22"/>
          <w:szCs w:val="22"/>
        </w:rPr>
        <w:t xml:space="preserve"> uniknąć, </w:t>
      </w:r>
      <w:r w:rsidR="009D7E51">
        <w:rPr>
          <w:rFonts w:asciiTheme="minorHAnsi" w:hAnsiTheme="minorHAnsi"/>
          <w:sz w:val="22"/>
          <w:szCs w:val="22"/>
        </w:rPr>
        <w:t>eksperci podpisują deklarację</w:t>
      </w:r>
      <w:r w:rsidRPr="000D5EB5">
        <w:rPr>
          <w:rFonts w:asciiTheme="minorHAnsi" w:hAnsiTheme="minorHAnsi"/>
          <w:sz w:val="22"/>
          <w:szCs w:val="22"/>
        </w:rPr>
        <w:t xml:space="preserve"> o braku k</w:t>
      </w:r>
      <w:r w:rsidR="009D7E51">
        <w:rPr>
          <w:rFonts w:asciiTheme="minorHAnsi" w:hAnsiTheme="minorHAnsi"/>
          <w:sz w:val="22"/>
          <w:szCs w:val="22"/>
        </w:rPr>
        <w:t>onfliktu interesów przygotowaną</w:t>
      </w:r>
      <w:r w:rsidRPr="000D5EB5">
        <w:rPr>
          <w:rFonts w:asciiTheme="minorHAnsi" w:hAnsiTheme="minorHAnsi"/>
          <w:sz w:val="22"/>
          <w:szCs w:val="22"/>
        </w:rPr>
        <w:t xml:space="preserve"> przez Narodową Agencję, w której zobowiązują się poinformować Narodową Agencję o zaistnieniu </w:t>
      </w:r>
      <w:r w:rsidR="009D7E51">
        <w:rPr>
          <w:rFonts w:asciiTheme="minorHAnsi" w:hAnsiTheme="minorHAnsi"/>
          <w:sz w:val="22"/>
          <w:szCs w:val="22"/>
        </w:rPr>
        <w:t>takiego konfliktu i jego charakterze</w:t>
      </w:r>
      <w:r w:rsidRPr="000D5EB5">
        <w:rPr>
          <w:rFonts w:asciiTheme="minorHAnsi" w:hAnsiTheme="minorHAnsi"/>
          <w:sz w:val="22"/>
          <w:szCs w:val="22"/>
        </w:rPr>
        <w:t xml:space="preserve"> (por. wzór w załączniku 7 do niniejszego Przewodnika). </w:t>
      </w:r>
      <w:r w:rsidR="009D7E51">
        <w:rPr>
          <w:rFonts w:asciiTheme="minorHAnsi" w:hAnsiTheme="minorHAnsi"/>
          <w:sz w:val="22"/>
          <w:szCs w:val="22"/>
        </w:rPr>
        <w:t>Deklaracja zobowiązuje</w:t>
      </w:r>
      <w:r w:rsidRPr="000D5EB5">
        <w:rPr>
          <w:rFonts w:asciiTheme="minorHAnsi" w:hAnsiTheme="minorHAnsi"/>
          <w:sz w:val="22"/>
          <w:szCs w:val="22"/>
        </w:rPr>
        <w:t xml:space="preserve"> </w:t>
      </w:r>
      <w:r w:rsidR="009D7E51">
        <w:rPr>
          <w:rFonts w:asciiTheme="minorHAnsi" w:hAnsiTheme="minorHAnsi"/>
          <w:sz w:val="22"/>
          <w:szCs w:val="22"/>
        </w:rPr>
        <w:t xml:space="preserve">również </w:t>
      </w:r>
      <w:r w:rsidRPr="000D5EB5">
        <w:rPr>
          <w:rFonts w:asciiTheme="minorHAnsi" w:hAnsiTheme="minorHAnsi"/>
          <w:sz w:val="22"/>
          <w:szCs w:val="22"/>
        </w:rPr>
        <w:t>e</w:t>
      </w:r>
      <w:r w:rsidR="009D7E51">
        <w:rPr>
          <w:rFonts w:asciiTheme="minorHAnsi" w:hAnsiTheme="minorHAnsi"/>
          <w:sz w:val="22"/>
          <w:szCs w:val="22"/>
        </w:rPr>
        <w:t xml:space="preserve">kspertów </w:t>
      </w:r>
      <w:r w:rsidRPr="000D5EB5">
        <w:rPr>
          <w:rFonts w:asciiTheme="minorHAnsi" w:hAnsiTheme="minorHAnsi"/>
          <w:sz w:val="22"/>
          <w:szCs w:val="22"/>
        </w:rPr>
        <w:t>do zachowania poufności.</w:t>
      </w:r>
    </w:p>
    <w:p w:rsidR="009D008C" w:rsidRPr="000D5EB5"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Uważa się, że konflikt interesów występuje w przypadku osób zaangażowanych w przygotowanie wniosku złożonego w dane</w:t>
      </w:r>
      <w:r w:rsidR="009D7E51">
        <w:rPr>
          <w:rFonts w:asciiTheme="minorHAnsi" w:hAnsiTheme="minorHAnsi"/>
          <w:sz w:val="22"/>
          <w:szCs w:val="22"/>
        </w:rPr>
        <w:t xml:space="preserve">j rundzie selekcyjnej i akcji, w ramach </w:t>
      </w:r>
      <w:r w:rsidRPr="000D5EB5">
        <w:rPr>
          <w:rFonts w:asciiTheme="minorHAnsi" w:hAnsiTheme="minorHAnsi"/>
          <w:sz w:val="22"/>
          <w:szCs w:val="22"/>
        </w:rPr>
        <w:t>której prowadzona jest ocena</w:t>
      </w:r>
      <w:r w:rsidR="009D7E51">
        <w:rPr>
          <w:rFonts w:asciiTheme="minorHAnsi" w:hAnsiTheme="minorHAnsi"/>
          <w:sz w:val="22"/>
          <w:szCs w:val="22"/>
        </w:rPr>
        <w:t>.</w:t>
      </w:r>
      <w:r w:rsidRPr="000D5EB5">
        <w:rPr>
          <w:rFonts w:asciiTheme="minorHAnsi" w:hAnsiTheme="minorHAnsi"/>
          <w:sz w:val="22"/>
          <w:szCs w:val="22"/>
        </w:rPr>
        <w:t xml:space="preserve"> </w:t>
      </w:r>
      <w:r w:rsidR="009D7E51">
        <w:rPr>
          <w:rFonts w:asciiTheme="minorHAnsi" w:hAnsiTheme="minorHAnsi"/>
          <w:sz w:val="22"/>
          <w:szCs w:val="22"/>
        </w:rPr>
        <w:t>T</w:t>
      </w:r>
      <w:r w:rsidRPr="000D5EB5">
        <w:rPr>
          <w:rFonts w:asciiTheme="minorHAnsi" w:hAnsiTheme="minorHAnsi"/>
          <w:sz w:val="22"/>
          <w:szCs w:val="22"/>
        </w:rPr>
        <w:t>akie osoby nie zosta</w:t>
      </w:r>
      <w:r w:rsidR="009D7E51">
        <w:rPr>
          <w:rFonts w:asciiTheme="minorHAnsi" w:hAnsiTheme="minorHAnsi"/>
          <w:sz w:val="22"/>
          <w:szCs w:val="22"/>
        </w:rPr>
        <w:t>ną mianowane ekspertami w danej</w:t>
      </w:r>
      <w:r w:rsidRPr="000D5EB5">
        <w:rPr>
          <w:rFonts w:asciiTheme="minorHAnsi" w:hAnsiTheme="minorHAnsi"/>
          <w:sz w:val="22"/>
          <w:szCs w:val="22"/>
        </w:rPr>
        <w:t xml:space="preserve"> rundzie selekcyjnej.</w:t>
      </w:r>
    </w:p>
    <w:p w:rsidR="009D008C" w:rsidRPr="000D5EB5"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W przypadku zgłoszenia potencjalnego konfliktu interesów przez eksperta lub w sytuacji, gdy Narodowa Agencja zdobędzie wiedzę w tym względzie w inny sposób, Narodowa Agencja</w:t>
      </w:r>
      <w:r w:rsidR="000709BF">
        <w:rPr>
          <w:rFonts w:asciiTheme="minorHAnsi" w:hAnsiTheme="minorHAnsi"/>
          <w:sz w:val="22"/>
          <w:szCs w:val="22"/>
        </w:rPr>
        <w:t>,</w:t>
      </w:r>
      <w:r w:rsidRPr="000D5EB5">
        <w:rPr>
          <w:rFonts w:asciiTheme="minorHAnsi" w:hAnsiTheme="minorHAnsi"/>
          <w:sz w:val="22"/>
          <w:szCs w:val="22"/>
        </w:rPr>
        <w:t xml:space="preserve"> </w:t>
      </w:r>
      <w:r w:rsidR="000709BF" w:rsidRPr="000D5EB5">
        <w:rPr>
          <w:rFonts w:asciiTheme="minorHAnsi" w:hAnsiTheme="minorHAnsi"/>
          <w:sz w:val="22"/>
          <w:szCs w:val="22"/>
        </w:rPr>
        <w:t>w zależności od dos</w:t>
      </w:r>
      <w:r w:rsidR="000709BF">
        <w:rPr>
          <w:rFonts w:asciiTheme="minorHAnsi" w:hAnsiTheme="minorHAnsi"/>
          <w:sz w:val="22"/>
          <w:szCs w:val="22"/>
        </w:rPr>
        <w:t xml:space="preserve">tępnych obiektywnych informacji, </w:t>
      </w:r>
      <w:r w:rsidRPr="000D5EB5">
        <w:rPr>
          <w:rFonts w:asciiTheme="minorHAnsi" w:hAnsiTheme="minorHAnsi"/>
          <w:sz w:val="22"/>
          <w:szCs w:val="22"/>
        </w:rPr>
        <w:t>rozważy okoliczności i zadecyduje czy wykluczyć eksperta z oceny danego wniosku lub z oceny w ramach całej rundy selekcyjnej</w:t>
      </w:r>
      <w:r w:rsidR="000709BF">
        <w:rPr>
          <w:rFonts w:asciiTheme="minorHAnsi" w:hAnsiTheme="minorHAnsi"/>
          <w:sz w:val="22"/>
          <w:szCs w:val="22"/>
        </w:rPr>
        <w:t xml:space="preserve"> lub czy </w:t>
      </w:r>
      <w:r w:rsidRPr="000D5EB5">
        <w:rPr>
          <w:rFonts w:asciiTheme="minorHAnsi" w:hAnsiTheme="minorHAnsi"/>
          <w:sz w:val="22"/>
          <w:szCs w:val="22"/>
        </w:rPr>
        <w:t>zezwolić eksp</w:t>
      </w:r>
      <w:r w:rsidR="000709BF">
        <w:rPr>
          <w:rFonts w:asciiTheme="minorHAnsi" w:hAnsiTheme="minorHAnsi"/>
          <w:sz w:val="22"/>
          <w:szCs w:val="22"/>
        </w:rPr>
        <w:t>ertowi na uczestnictwo w ocenie</w:t>
      </w:r>
      <w:r w:rsidRPr="000D5EB5">
        <w:rPr>
          <w:rFonts w:asciiTheme="minorHAnsi" w:hAnsiTheme="minorHAnsi"/>
          <w:sz w:val="22"/>
          <w:szCs w:val="22"/>
        </w:rPr>
        <w:t>.</w:t>
      </w:r>
    </w:p>
    <w:p w:rsidR="009D008C" w:rsidRPr="000D5EB5" w:rsidRDefault="009D008C" w:rsidP="00C371FE">
      <w:pPr>
        <w:pStyle w:val="Teksttreci1"/>
        <w:spacing w:before="120" w:after="120"/>
        <w:ind w:left="20" w:right="20"/>
        <w:rPr>
          <w:rFonts w:asciiTheme="minorHAnsi" w:hAnsiTheme="minorHAnsi" w:cs="Microsoft Sans Serif"/>
          <w:sz w:val="22"/>
          <w:szCs w:val="22"/>
        </w:rPr>
        <w:sectPr w:rsidR="009D008C" w:rsidRPr="000D5EB5" w:rsidSect="009D7E51">
          <w:headerReference w:type="default" r:id="rId8"/>
          <w:footerReference w:type="default" r:id="rId9"/>
          <w:pgSz w:w="11905" w:h="16837"/>
          <w:pgMar w:top="651" w:right="1407" w:bottom="1435" w:left="1702" w:header="648" w:footer="1435" w:gutter="0"/>
          <w:cols w:space="708"/>
          <w:noEndnote/>
          <w:docGrid w:linePitch="360"/>
        </w:sectPr>
      </w:pPr>
    </w:p>
    <w:p w:rsidR="009D008C" w:rsidRPr="000D5EB5" w:rsidRDefault="009D008C" w:rsidP="00C371FE">
      <w:pPr>
        <w:pStyle w:val="Teksttreci71"/>
        <w:spacing w:before="120" w:after="120" w:line="240" w:lineRule="auto"/>
        <w:ind w:firstLine="0"/>
        <w:rPr>
          <w:rFonts w:asciiTheme="minorHAnsi" w:hAnsiTheme="minorHAnsi" w:cs="Microsoft Sans Serif"/>
          <w:sz w:val="22"/>
          <w:szCs w:val="22"/>
        </w:rPr>
        <w:sectPr w:rsidR="009D008C" w:rsidRPr="000D5EB5">
          <w:type w:val="continuous"/>
          <w:pgSz w:w="11905" w:h="16837"/>
          <w:pgMar w:top="651" w:right="1410" w:bottom="1435" w:left="1705" w:header="648" w:footer="1435" w:gutter="0"/>
          <w:cols w:num="2" w:space="708" w:equalWidth="0">
            <w:col w:w="70" w:space="214"/>
            <w:col w:w="8502"/>
          </w:cols>
          <w:noEndnote/>
          <w:docGrid w:linePitch="360"/>
        </w:sectPr>
      </w:pPr>
    </w:p>
    <w:p w:rsidR="00C371FE" w:rsidRDefault="00C371FE" w:rsidP="00C371FE">
      <w:pPr>
        <w:pStyle w:val="Nagwek21"/>
        <w:spacing w:before="120" w:after="120" w:line="240" w:lineRule="auto"/>
        <w:ind w:left="20"/>
        <w:rPr>
          <w:rStyle w:val="Nagwek23"/>
          <w:rFonts w:asciiTheme="minorHAnsi" w:hAnsiTheme="minorHAnsi"/>
          <w:b/>
        </w:rPr>
      </w:pPr>
      <w:bookmarkStart w:id="7" w:name="bookmark11"/>
      <w:bookmarkStart w:id="8" w:name="bookmark12"/>
      <w:bookmarkStart w:id="9" w:name="_Toc383878272"/>
    </w:p>
    <w:p w:rsidR="009D008C" w:rsidRPr="009155BB" w:rsidRDefault="009D008C" w:rsidP="00C371FE">
      <w:pPr>
        <w:pStyle w:val="Nagwek21"/>
        <w:spacing w:before="120" w:after="120" w:line="240" w:lineRule="auto"/>
        <w:ind w:left="20"/>
        <w:rPr>
          <w:rFonts w:asciiTheme="minorHAnsi" w:hAnsiTheme="minorHAnsi" w:cs="Microsoft Sans Serif"/>
          <w:b w:val="0"/>
        </w:rPr>
      </w:pPr>
      <w:r w:rsidRPr="009155BB">
        <w:rPr>
          <w:rStyle w:val="Nagwek23"/>
          <w:rFonts w:asciiTheme="minorHAnsi" w:hAnsiTheme="minorHAnsi"/>
          <w:b/>
        </w:rPr>
        <w:t>3. Ocena wniosków</w:t>
      </w:r>
      <w:bookmarkEnd w:id="7"/>
      <w:bookmarkEnd w:id="8"/>
      <w:bookmarkEnd w:id="9"/>
    </w:p>
    <w:p w:rsidR="009D008C" w:rsidRPr="00C371FE" w:rsidRDefault="009D008C" w:rsidP="00C371FE">
      <w:pPr>
        <w:pStyle w:val="Nagwek31"/>
        <w:numPr>
          <w:ilvl w:val="1"/>
          <w:numId w:val="1"/>
        </w:numPr>
        <w:tabs>
          <w:tab w:val="left" w:pos="474"/>
        </w:tabs>
        <w:spacing w:before="120" w:after="120" w:line="262" w:lineRule="exact"/>
        <w:ind w:left="743"/>
        <w:rPr>
          <w:rFonts w:asciiTheme="minorHAnsi" w:hAnsiTheme="minorHAnsi"/>
          <w:b w:val="0"/>
          <w:sz w:val="22"/>
          <w:szCs w:val="22"/>
        </w:rPr>
      </w:pPr>
      <w:bookmarkStart w:id="10" w:name="_Toc383878273"/>
      <w:r w:rsidRPr="009155BB">
        <w:rPr>
          <w:rStyle w:val="Nagwek33"/>
          <w:rFonts w:asciiTheme="minorHAnsi" w:hAnsiTheme="minorHAnsi"/>
          <w:b/>
          <w:sz w:val="22"/>
          <w:szCs w:val="22"/>
        </w:rPr>
        <w:t>Przygotowanie do oceny</w:t>
      </w:r>
      <w:bookmarkEnd w:id="10"/>
    </w:p>
    <w:p w:rsidR="009D008C" w:rsidRPr="000D5EB5" w:rsidRDefault="009D008C" w:rsidP="00C371FE">
      <w:pPr>
        <w:pStyle w:val="Teksttreci1"/>
        <w:spacing w:before="120" w:after="120" w:line="262" w:lineRule="exact"/>
        <w:ind w:left="20" w:right="40"/>
        <w:rPr>
          <w:rFonts w:asciiTheme="minorHAnsi" w:hAnsiTheme="minorHAnsi" w:cs="Microsoft Sans Serif"/>
          <w:sz w:val="22"/>
          <w:szCs w:val="22"/>
        </w:rPr>
      </w:pPr>
      <w:r w:rsidRPr="000D5EB5">
        <w:rPr>
          <w:rFonts w:asciiTheme="minorHAnsi" w:hAnsiTheme="minorHAnsi"/>
          <w:sz w:val="22"/>
          <w:szCs w:val="22"/>
        </w:rPr>
        <w:t>Przed przystąpieniem do oceny, eksperci są informowani przez Narodową Agencję o programie i akcji, której dotyczy ocena oraz o</w:t>
      </w:r>
      <w:r w:rsidR="00FC049D">
        <w:rPr>
          <w:rFonts w:asciiTheme="minorHAnsi" w:hAnsiTheme="minorHAnsi"/>
          <w:sz w:val="22"/>
          <w:szCs w:val="22"/>
        </w:rPr>
        <w:t xml:space="preserve"> jej procesie i procedurach</w:t>
      </w:r>
      <w:r w:rsidRPr="000D5EB5">
        <w:rPr>
          <w:rFonts w:asciiTheme="minorHAnsi" w:hAnsiTheme="minorHAnsi"/>
          <w:sz w:val="22"/>
          <w:szCs w:val="22"/>
        </w:rPr>
        <w:t>.</w:t>
      </w:r>
    </w:p>
    <w:p w:rsidR="009D008C" w:rsidRPr="000D5EB5" w:rsidRDefault="009D008C" w:rsidP="00C371FE">
      <w:pPr>
        <w:pStyle w:val="Teksttreci1"/>
        <w:spacing w:before="120" w:after="120"/>
        <w:ind w:left="20" w:right="40"/>
        <w:rPr>
          <w:rFonts w:asciiTheme="minorHAnsi" w:hAnsiTheme="minorHAnsi" w:cs="Microsoft Sans Serif"/>
          <w:sz w:val="22"/>
          <w:szCs w:val="22"/>
        </w:rPr>
      </w:pPr>
      <w:r w:rsidRPr="000D5EB5">
        <w:rPr>
          <w:rFonts w:asciiTheme="minorHAnsi" w:hAnsiTheme="minorHAnsi"/>
          <w:sz w:val="22"/>
          <w:szCs w:val="22"/>
        </w:rPr>
        <w:t xml:space="preserve">Eksperci otrzymują dokumenty pomocnicze do oceny oraz uzyskują dostęp do Internetowego Narzędzia Oceny dla Ekspertów (ang. </w:t>
      </w:r>
      <w:proofErr w:type="spellStart"/>
      <w:r w:rsidRPr="000D5EB5">
        <w:rPr>
          <w:rFonts w:asciiTheme="minorHAnsi" w:hAnsiTheme="minorHAnsi"/>
          <w:sz w:val="22"/>
          <w:szCs w:val="22"/>
        </w:rPr>
        <w:t>Online</w:t>
      </w:r>
      <w:proofErr w:type="spellEnd"/>
      <w:r w:rsidRPr="000D5EB5">
        <w:rPr>
          <w:rFonts w:asciiTheme="minorHAnsi" w:hAnsiTheme="minorHAnsi"/>
          <w:sz w:val="22"/>
          <w:szCs w:val="22"/>
        </w:rPr>
        <w:t xml:space="preserve"> </w:t>
      </w:r>
      <w:proofErr w:type="spellStart"/>
      <w:r w:rsidRPr="000D5EB5">
        <w:rPr>
          <w:rFonts w:asciiTheme="minorHAnsi" w:hAnsiTheme="minorHAnsi"/>
          <w:sz w:val="22"/>
          <w:szCs w:val="22"/>
        </w:rPr>
        <w:t>Expert</w:t>
      </w:r>
      <w:proofErr w:type="spellEnd"/>
      <w:r w:rsidRPr="000D5EB5">
        <w:rPr>
          <w:rFonts w:asciiTheme="minorHAnsi" w:hAnsiTheme="minorHAnsi"/>
          <w:sz w:val="22"/>
          <w:szCs w:val="22"/>
        </w:rPr>
        <w:t xml:space="preserve"> </w:t>
      </w:r>
      <w:proofErr w:type="spellStart"/>
      <w:r w:rsidRPr="000D5EB5">
        <w:rPr>
          <w:rFonts w:asciiTheme="minorHAnsi" w:hAnsiTheme="minorHAnsi"/>
          <w:sz w:val="22"/>
          <w:szCs w:val="22"/>
        </w:rPr>
        <w:t>Evaluation</w:t>
      </w:r>
      <w:proofErr w:type="spellEnd"/>
      <w:r w:rsidRPr="000D5EB5">
        <w:rPr>
          <w:rFonts w:asciiTheme="minorHAnsi" w:hAnsiTheme="minorHAnsi"/>
          <w:sz w:val="22"/>
          <w:szCs w:val="22"/>
        </w:rPr>
        <w:t xml:space="preserve"> </w:t>
      </w:r>
      <w:proofErr w:type="spellStart"/>
      <w:r w:rsidRPr="000D5EB5">
        <w:rPr>
          <w:rFonts w:asciiTheme="minorHAnsi" w:hAnsiTheme="minorHAnsi"/>
          <w:sz w:val="22"/>
          <w:szCs w:val="22"/>
        </w:rPr>
        <w:t>Tool</w:t>
      </w:r>
      <w:proofErr w:type="spellEnd"/>
      <w:r w:rsidRPr="000D5EB5">
        <w:rPr>
          <w:rFonts w:asciiTheme="minorHAnsi" w:hAnsiTheme="minorHAnsi"/>
          <w:sz w:val="22"/>
          <w:szCs w:val="22"/>
        </w:rPr>
        <w:t xml:space="preserve"> - OEET), w którym dokonują oceny z zastosowaniem standardowych formularzy oceny merytorycznej.</w:t>
      </w:r>
    </w:p>
    <w:p w:rsidR="009D008C" w:rsidRPr="000D5EB5" w:rsidRDefault="009D008C" w:rsidP="00C371FE">
      <w:pPr>
        <w:pStyle w:val="Teksttreci51"/>
        <w:spacing w:before="120" w:after="120" w:line="240" w:lineRule="auto"/>
        <w:ind w:left="20"/>
        <w:rPr>
          <w:rFonts w:asciiTheme="minorHAnsi" w:hAnsiTheme="minorHAnsi" w:cs="Microsoft Sans Serif"/>
          <w:sz w:val="22"/>
          <w:szCs w:val="22"/>
        </w:rPr>
      </w:pPr>
      <w:r w:rsidRPr="000D5EB5">
        <w:rPr>
          <w:rFonts w:asciiTheme="minorHAnsi" w:hAnsiTheme="minorHAnsi"/>
          <w:sz w:val="22"/>
          <w:szCs w:val="22"/>
        </w:rPr>
        <w:t>Przed przystąpieniem do oceny wniosków, eksperci muszą:</w:t>
      </w:r>
    </w:p>
    <w:p w:rsidR="009D008C" w:rsidRPr="000D5EB5" w:rsidRDefault="009D008C" w:rsidP="00C371FE">
      <w:pPr>
        <w:pStyle w:val="Teksttreci101"/>
        <w:numPr>
          <w:ilvl w:val="0"/>
          <w:numId w:val="2"/>
        </w:numPr>
        <w:tabs>
          <w:tab w:val="left" w:pos="1089"/>
        </w:tabs>
        <w:spacing w:before="120" w:after="120"/>
        <w:ind w:right="40"/>
        <w:rPr>
          <w:rFonts w:asciiTheme="minorHAnsi" w:hAnsiTheme="minorHAnsi"/>
          <w:sz w:val="22"/>
          <w:szCs w:val="22"/>
        </w:rPr>
      </w:pPr>
      <w:r w:rsidRPr="000D5EB5">
        <w:rPr>
          <w:rFonts w:asciiTheme="minorHAnsi" w:hAnsiTheme="minorHAnsi" w:cs="Arial"/>
          <w:sz w:val="22"/>
          <w:szCs w:val="22"/>
        </w:rPr>
        <w:t>dokładnie zapoznać się z Przewodnikiem po programie</w:t>
      </w:r>
      <w:r w:rsidRPr="000D5EB5">
        <w:rPr>
          <w:rStyle w:val="Teksttreci104"/>
          <w:rFonts w:asciiTheme="minorHAnsi" w:hAnsiTheme="minorHAnsi"/>
          <w:sz w:val="22"/>
          <w:szCs w:val="22"/>
        </w:rPr>
        <w:t xml:space="preserve"> Erasmus+, w którym przedstawiono wszystkie niezbędne </w:t>
      </w:r>
      <w:r w:rsidRPr="000D5EB5">
        <w:rPr>
          <w:rFonts w:asciiTheme="minorHAnsi" w:hAnsiTheme="minorHAnsi"/>
          <w:sz w:val="22"/>
          <w:szCs w:val="22"/>
        </w:rPr>
        <w:t xml:space="preserve">informacje </w:t>
      </w:r>
      <w:r w:rsidRPr="000D5EB5">
        <w:rPr>
          <w:rStyle w:val="Teksttreci104"/>
          <w:rFonts w:asciiTheme="minorHAnsi" w:hAnsiTheme="minorHAnsi"/>
          <w:sz w:val="22"/>
          <w:szCs w:val="22"/>
        </w:rPr>
        <w:t xml:space="preserve">dla </w:t>
      </w:r>
      <w:r w:rsidRPr="000D5EB5">
        <w:rPr>
          <w:rFonts w:asciiTheme="minorHAnsi" w:hAnsiTheme="minorHAnsi"/>
          <w:sz w:val="22"/>
          <w:szCs w:val="22"/>
        </w:rPr>
        <w:t>potencjalnych wnioskodawców  n</w:t>
      </w:r>
      <w:r w:rsidR="00FC049D">
        <w:rPr>
          <w:rFonts w:asciiTheme="minorHAnsi" w:hAnsiTheme="minorHAnsi"/>
          <w:sz w:val="22"/>
          <w:szCs w:val="22"/>
        </w:rPr>
        <w:t xml:space="preserve">a temat </w:t>
      </w:r>
      <w:proofErr w:type="spellStart"/>
      <w:r w:rsidR="00FC049D">
        <w:rPr>
          <w:rFonts w:asciiTheme="minorHAnsi" w:hAnsiTheme="minorHAnsi"/>
          <w:sz w:val="22"/>
          <w:szCs w:val="22"/>
        </w:rPr>
        <w:t>programu</w:t>
      </w:r>
      <w:proofErr w:type="spellEnd"/>
      <w:r w:rsidR="00FC049D">
        <w:rPr>
          <w:rFonts w:asciiTheme="minorHAnsi" w:hAnsiTheme="minorHAnsi"/>
          <w:sz w:val="22"/>
          <w:szCs w:val="22"/>
        </w:rPr>
        <w:t xml:space="preserve"> i </w:t>
      </w:r>
      <w:r w:rsidRPr="000D5EB5">
        <w:rPr>
          <w:rFonts w:asciiTheme="minorHAnsi" w:hAnsiTheme="minorHAnsi"/>
          <w:sz w:val="22"/>
          <w:szCs w:val="22"/>
        </w:rPr>
        <w:t xml:space="preserve">poszczególnych akcji, w ramach których można ubiegać się o dofinansowanie; </w:t>
      </w:r>
    </w:p>
    <w:p w:rsidR="009D008C" w:rsidRPr="000D5EB5" w:rsidRDefault="009D008C" w:rsidP="00C371FE">
      <w:pPr>
        <w:pStyle w:val="Teksttreci101"/>
        <w:numPr>
          <w:ilvl w:val="0"/>
          <w:numId w:val="2"/>
        </w:numPr>
        <w:tabs>
          <w:tab w:val="left" w:pos="1089"/>
        </w:tabs>
        <w:spacing w:before="120" w:after="120"/>
        <w:ind w:right="40"/>
        <w:rPr>
          <w:rFonts w:asciiTheme="minorHAnsi" w:hAnsiTheme="minorHAnsi"/>
          <w:sz w:val="22"/>
          <w:szCs w:val="22"/>
        </w:rPr>
      </w:pPr>
      <w:r w:rsidRPr="000D5EB5">
        <w:rPr>
          <w:rFonts w:asciiTheme="minorHAnsi" w:hAnsiTheme="minorHAnsi"/>
          <w:sz w:val="22"/>
          <w:szCs w:val="22"/>
        </w:rPr>
        <w:t>posiadać dogłębną wiedzę n</w:t>
      </w:r>
      <w:r w:rsidR="00FC049D">
        <w:rPr>
          <w:rFonts w:asciiTheme="minorHAnsi" w:hAnsiTheme="minorHAnsi"/>
          <w:sz w:val="22"/>
          <w:szCs w:val="22"/>
        </w:rPr>
        <w:t xml:space="preserve">a </w:t>
      </w:r>
      <w:r w:rsidRPr="000D5EB5">
        <w:rPr>
          <w:rFonts w:asciiTheme="minorHAnsi" w:hAnsiTheme="minorHAnsi"/>
          <w:sz w:val="22"/>
          <w:szCs w:val="22"/>
        </w:rPr>
        <w:t>t</w:t>
      </w:r>
      <w:r w:rsidR="00FC049D">
        <w:rPr>
          <w:rFonts w:asciiTheme="minorHAnsi" w:hAnsiTheme="minorHAnsi"/>
          <w:sz w:val="22"/>
          <w:szCs w:val="22"/>
        </w:rPr>
        <w:t>emat</w:t>
      </w:r>
      <w:r w:rsidRPr="000D5EB5">
        <w:rPr>
          <w:rFonts w:asciiTheme="minorHAnsi" w:hAnsiTheme="minorHAnsi"/>
          <w:sz w:val="22"/>
          <w:szCs w:val="22"/>
        </w:rPr>
        <w:t xml:space="preserve"> danej</w:t>
      </w:r>
      <w:r w:rsidR="00FC049D">
        <w:rPr>
          <w:rFonts w:asciiTheme="minorHAnsi" w:hAnsiTheme="minorHAnsi"/>
          <w:sz w:val="22"/>
          <w:szCs w:val="22"/>
        </w:rPr>
        <w:t xml:space="preserve"> akcji, jej celów i priorytetów</w:t>
      </w:r>
      <w:r w:rsidRPr="000D5EB5">
        <w:rPr>
          <w:rFonts w:asciiTheme="minorHAnsi" w:hAnsiTheme="minorHAnsi"/>
          <w:sz w:val="22"/>
          <w:szCs w:val="22"/>
        </w:rPr>
        <w:t>. Aby zapoznać się z priorytetami, eksperci powinni sięgnąć do dokumentów wyszczególnionych w załączniku 5 do niniejszego Przewodnika;</w:t>
      </w:r>
    </w:p>
    <w:p w:rsidR="009D008C" w:rsidRPr="000D5EB5" w:rsidRDefault="009D008C" w:rsidP="00C371FE">
      <w:pPr>
        <w:pStyle w:val="Teksttreci101"/>
        <w:numPr>
          <w:ilvl w:val="0"/>
          <w:numId w:val="2"/>
        </w:numPr>
        <w:tabs>
          <w:tab w:val="left" w:pos="1089"/>
        </w:tabs>
        <w:spacing w:before="120" w:after="120"/>
        <w:ind w:right="40"/>
        <w:rPr>
          <w:rFonts w:asciiTheme="minorHAnsi" w:hAnsiTheme="minorHAnsi"/>
          <w:sz w:val="22"/>
          <w:szCs w:val="22"/>
        </w:rPr>
      </w:pPr>
      <w:r w:rsidRPr="000D5EB5">
        <w:rPr>
          <w:rFonts w:asciiTheme="minorHAnsi" w:hAnsiTheme="minorHAnsi"/>
          <w:sz w:val="22"/>
          <w:szCs w:val="22"/>
        </w:rPr>
        <w:t>posiadać dogłębną wiedzę n</w:t>
      </w:r>
      <w:r w:rsidR="00FC049D">
        <w:rPr>
          <w:rFonts w:asciiTheme="minorHAnsi" w:hAnsiTheme="minorHAnsi"/>
          <w:sz w:val="22"/>
          <w:szCs w:val="22"/>
        </w:rPr>
        <w:t xml:space="preserve">a </w:t>
      </w:r>
      <w:r w:rsidRPr="000D5EB5">
        <w:rPr>
          <w:rFonts w:asciiTheme="minorHAnsi" w:hAnsiTheme="minorHAnsi"/>
          <w:sz w:val="22"/>
          <w:szCs w:val="22"/>
        </w:rPr>
        <w:t>t</w:t>
      </w:r>
      <w:r w:rsidR="00FC049D">
        <w:rPr>
          <w:rFonts w:asciiTheme="minorHAnsi" w:hAnsiTheme="minorHAnsi"/>
          <w:sz w:val="22"/>
          <w:szCs w:val="22"/>
        </w:rPr>
        <w:t>emat</w:t>
      </w:r>
      <w:r w:rsidRPr="000D5EB5">
        <w:rPr>
          <w:rFonts w:asciiTheme="minorHAnsi" w:hAnsiTheme="minorHAnsi"/>
          <w:sz w:val="22"/>
          <w:szCs w:val="22"/>
        </w:rPr>
        <w:t xml:space="preserve"> kryteriów oceny wniosków w </w:t>
      </w:r>
      <w:r w:rsidR="00FC049D">
        <w:rPr>
          <w:rFonts w:asciiTheme="minorHAnsi" w:hAnsiTheme="minorHAnsi"/>
          <w:sz w:val="22"/>
          <w:szCs w:val="22"/>
        </w:rPr>
        <w:t xml:space="preserve">ramach </w:t>
      </w:r>
      <w:r w:rsidRPr="000D5EB5">
        <w:rPr>
          <w:rFonts w:asciiTheme="minorHAnsi" w:hAnsiTheme="minorHAnsi"/>
          <w:sz w:val="22"/>
          <w:szCs w:val="22"/>
        </w:rPr>
        <w:t>danej akcji (por. rozdział 3.3);</w:t>
      </w:r>
    </w:p>
    <w:p w:rsidR="009D008C" w:rsidRPr="000D5EB5" w:rsidRDefault="009D008C" w:rsidP="00C371FE">
      <w:pPr>
        <w:pStyle w:val="Teksttreci51"/>
        <w:numPr>
          <w:ilvl w:val="0"/>
          <w:numId w:val="2"/>
        </w:numPr>
        <w:tabs>
          <w:tab w:val="left" w:pos="729"/>
        </w:tabs>
        <w:spacing w:before="120" w:after="120" w:line="240" w:lineRule="auto"/>
        <w:rPr>
          <w:rFonts w:asciiTheme="minorHAnsi" w:hAnsiTheme="minorHAnsi"/>
          <w:sz w:val="22"/>
          <w:szCs w:val="22"/>
        </w:rPr>
      </w:pPr>
      <w:r w:rsidRPr="000D5EB5">
        <w:rPr>
          <w:rFonts w:asciiTheme="minorHAnsi" w:hAnsiTheme="minorHAnsi"/>
          <w:sz w:val="22"/>
          <w:szCs w:val="22"/>
        </w:rPr>
        <w:t>zapoznać się z treścią i strukturą formularza wniosku;</w:t>
      </w:r>
    </w:p>
    <w:p w:rsidR="009D008C" w:rsidRPr="000D5EB5" w:rsidRDefault="009D008C" w:rsidP="00C371FE">
      <w:pPr>
        <w:pStyle w:val="Teksttreci101"/>
        <w:numPr>
          <w:ilvl w:val="0"/>
          <w:numId w:val="2"/>
        </w:numPr>
        <w:tabs>
          <w:tab w:val="left" w:pos="1089"/>
        </w:tabs>
        <w:spacing w:before="120" w:after="120" w:line="240" w:lineRule="exact"/>
        <w:ind w:right="40"/>
        <w:rPr>
          <w:rFonts w:asciiTheme="minorHAnsi" w:hAnsiTheme="minorHAnsi"/>
          <w:sz w:val="22"/>
          <w:szCs w:val="22"/>
        </w:rPr>
      </w:pPr>
      <w:r w:rsidRPr="000D5EB5">
        <w:rPr>
          <w:rFonts w:asciiTheme="minorHAnsi" w:hAnsiTheme="minorHAnsi"/>
          <w:sz w:val="22"/>
          <w:szCs w:val="22"/>
        </w:rPr>
        <w:t>zapoznać się z wszystkimi dokumentami pomocniczymi i narzędziami zapewnionymi przez Narodową Agencję.</w:t>
      </w:r>
    </w:p>
    <w:p w:rsidR="009D008C" w:rsidRPr="000D5EB5" w:rsidRDefault="009D008C" w:rsidP="00C371FE">
      <w:pPr>
        <w:pStyle w:val="Teksttreci1"/>
        <w:spacing w:before="120" w:after="120"/>
        <w:ind w:left="20" w:right="40"/>
        <w:rPr>
          <w:rFonts w:asciiTheme="minorHAnsi" w:hAnsiTheme="minorHAnsi"/>
          <w:sz w:val="22"/>
          <w:szCs w:val="22"/>
        </w:rPr>
      </w:pPr>
      <w:r w:rsidRPr="000D5EB5">
        <w:rPr>
          <w:rFonts w:asciiTheme="minorHAnsi" w:hAnsiTheme="minorHAnsi"/>
          <w:sz w:val="22"/>
          <w:szCs w:val="22"/>
        </w:rPr>
        <w:t xml:space="preserve">Przed wypełnieniem formularza oceny merytorycznej eksperci muszą uważnie przeczytać cały wniosek aplikacyjny. Zaleca się przeczytanie kilku wniosków przed przeprowadzeniem pierwszej oceny; takie </w:t>
      </w:r>
      <w:r w:rsidR="00FC049D">
        <w:rPr>
          <w:rFonts w:asciiTheme="minorHAnsi" w:hAnsiTheme="minorHAnsi"/>
          <w:sz w:val="22"/>
          <w:szCs w:val="22"/>
        </w:rPr>
        <w:t>podejście umożliwi</w:t>
      </w:r>
      <w:r w:rsidRPr="000D5EB5">
        <w:rPr>
          <w:rFonts w:asciiTheme="minorHAnsi" w:hAnsiTheme="minorHAnsi"/>
          <w:sz w:val="22"/>
          <w:szCs w:val="22"/>
        </w:rPr>
        <w:t xml:space="preserve"> ekspertom porównanie odpowiedzi zamieszczonych w poszczególnych częściach wniosków.</w:t>
      </w:r>
    </w:p>
    <w:p w:rsidR="009D008C" w:rsidRPr="000D5EB5" w:rsidRDefault="009D008C" w:rsidP="00C371FE">
      <w:pPr>
        <w:pStyle w:val="Teksttreci1"/>
        <w:spacing w:before="120" w:after="120"/>
        <w:ind w:left="20" w:right="40"/>
        <w:rPr>
          <w:rFonts w:asciiTheme="minorHAnsi" w:hAnsiTheme="minorHAnsi"/>
          <w:sz w:val="22"/>
          <w:szCs w:val="22"/>
        </w:rPr>
      </w:pPr>
      <w:r w:rsidRPr="000D5EB5">
        <w:rPr>
          <w:rFonts w:asciiTheme="minorHAnsi" w:hAnsiTheme="minorHAnsi"/>
          <w:sz w:val="22"/>
          <w:szCs w:val="22"/>
        </w:rPr>
        <w:t>Każdy ekspert pracuje indywidualnie i niezależnie, przedstawia oceny i komentarze odnośnie każdego kryterium oraz podsumowuje ocenę w formularzu oceny merytorycznej w języku określonym przez Narodową Agencję.</w:t>
      </w:r>
    </w:p>
    <w:p w:rsidR="009D008C" w:rsidRPr="000D5EB5" w:rsidRDefault="009D008C" w:rsidP="00C371FE">
      <w:pPr>
        <w:pStyle w:val="Teksttreci1"/>
        <w:spacing w:before="120" w:after="120"/>
        <w:ind w:left="20" w:right="40"/>
        <w:rPr>
          <w:rFonts w:asciiTheme="minorHAnsi" w:hAnsiTheme="minorHAnsi" w:cs="Microsoft Sans Serif"/>
          <w:sz w:val="22"/>
          <w:szCs w:val="22"/>
        </w:rPr>
      </w:pPr>
    </w:p>
    <w:p w:rsidR="009D008C" w:rsidRPr="009155BB" w:rsidRDefault="009D008C" w:rsidP="00C371FE">
      <w:pPr>
        <w:pStyle w:val="Nagwek31"/>
        <w:numPr>
          <w:ilvl w:val="1"/>
          <w:numId w:val="1"/>
        </w:numPr>
        <w:tabs>
          <w:tab w:val="left" w:pos="474"/>
        </w:tabs>
        <w:spacing w:before="120" w:after="120" w:line="240" w:lineRule="auto"/>
        <w:ind w:left="743"/>
        <w:rPr>
          <w:rFonts w:asciiTheme="minorHAnsi" w:hAnsiTheme="minorHAnsi"/>
          <w:b w:val="0"/>
          <w:sz w:val="22"/>
          <w:szCs w:val="22"/>
        </w:rPr>
      </w:pPr>
      <w:bookmarkStart w:id="11" w:name="_Toc383878274"/>
      <w:r w:rsidRPr="009155BB">
        <w:rPr>
          <w:rStyle w:val="Nagwek33"/>
          <w:rFonts w:asciiTheme="minorHAnsi" w:hAnsiTheme="minorHAnsi"/>
          <w:b/>
          <w:sz w:val="22"/>
          <w:szCs w:val="22"/>
        </w:rPr>
        <w:t>Formularze oceny</w:t>
      </w:r>
      <w:bookmarkEnd w:id="11"/>
    </w:p>
    <w:p w:rsidR="009D008C" w:rsidRPr="000D5EB5" w:rsidRDefault="009D008C" w:rsidP="00C371FE">
      <w:pPr>
        <w:pStyle w:val="Teksttreci1"/>
        <w:spacing w:before="120" w:after="120" w:line="240" w:lineRule="exact"/>
        <w:ind w:left="20" w:right="40"/>
        <w:rPr>
          <w:rFonts w:asciiTheme="minorHAnsi" w:hAnsiTheme="minorHAnsi" w:cs="Microsoft Sans Serif"/>
          <w:sz w:val="22"/>
          <w:szCs w:val="22"/>
        </w:rPr>
      </w:pPr>
      <w:r w:rsidRPr="000D5EB5">
        <w:rPr>
          <w:rFonts w:asciiTheme="minorHAnsi" w:hAnsiTheme="minorHAnsi"/>
          <w:sz w:val="22"/>
          <w:szCs w:val="22"/>
        </w:rPr>
        <w:t xml:space="preserve">Eksperci dokonują oceny za pomocą Internetowego Narzędzia Oceny dla Ekspertów (ang. </w:t>
      </w:r>
      <w:proofErr w:type="spellStart"/>
      <w:r w:rsidRPr="000D5EB5">
        <w:rPr>
          <w:rFonts w:asciiTheme="minorHAnsi" w:hAnsiTheme="minorHAnsi"/>
          <w:sz w:val="22"/>
          <w:szCs w:val="22"/>
        </w:rPr>
        <w:t>Online</w:t>
      </w:r>
      <w:proofErr w:type="spellEnd"/>
      <w:r w:rsidRPr="000D5EB5">
        <w:rPr>
          <w:rFonts w:asciiTheme="minorHAnsi" w:hAnsiTheme="minorHAnsi"/>
          <w:sz w:val="22"/>
          <w:szCs w:val="22"/>
        </w:rPr>
        <w:t xml:space="preserve"> </w:t>
      </w:r>
      <w:proofErr w:type="spellStart"/>
      <w:r w:rsidRPr="000D5EB5">
        <w:rPr>
          <w:rFonts w:asciiTheme="minorHAnsi" w:hAnsiTheme="minorHAnsi"/>
          <w:sz w:val="22"/>
          <w:szCs w:val="22"/>
        </w:rPr>
        <w:t>Expert</w:t>
      </w:r>
      <w:proofErr w:type="spellEnd"/>
      <w:r w:rsidRPr="000D5EB5">
        <w:rPr>
          <w:rFonts w:asciiTheme="minorHAnsi" w:hAnsiTheme="minorHAnsi"/>
          <w:sz w:val="22"/>
          <w:szCs w:val="22"/>
        </w:rPr>
        <w:t xml:space="preserve"> </w:t>
      </w:r>
      <w:proofErr w:type="spellStart"/>
      <w:r w:rsidRPr="000D5EB5">
        <w:rPr>
          <w:rFonts w:asciiTheme="minorHAnsi" w:hAnsiTheme="minorHAnsi"/>
          <w:sz w:val="22"/>
          <w:szCs w:val="22"/>
        </w:rPr>
        <w:t>Evaluation</w:t>
      </w:r>
      <w:proofErr w:type="spellEnd"/>
      <w:r w:rsidRPr="000D5EB5">
        <w:rPr>
          <w:rFonts w:asciiTheme="minorHAnsi" w:hAnsiTheme="minorHAnsi"/>
          <w:sz w:val="22"/>
          <w:szCs w:val="22"/>
        </w:rPr>
        <w:t xml:space="preserve"> </w:t>
      </w:r>
      <w:proofErr w:type="spellStart"/>
      <w:r w:rsidRPr="000D5EB5">
        <w:rPr>
          <w:rFonts w:asciiTheme="minorHAnsi" w:hAnsiTheme="minorHAnsi"/>
          <w:sz w:val="22"/>
          <w:szCs w:val="22"/>
        </w:rPr>
        <w:t>Tool</w:t>
      </w:r>
      <w:proofErr w:type="spellEnd"/>
      <w:r w:rsidRPr="000D5EB5">
        <w:rPr>
          <w:rFonts w:asciiTheme="minorHAnsi" w:hAnsiTheme="minorHAnsi"/>
          <w:sz w:val="22"/>
          <w:szCs w:val="22"/>
        </w:rPr>
        <w:t xml:space="preserve"> - OEET). Wnioski, które podlegają ocenie oraz formularze oceny merytorycznej dostępne są w OEET. </w:t>
      </w:r>
      <w:r w:rsidR="00FC049D">
        <w:rPr>
          <w:rFonts w:asciiTheme="minorHAnsi" w:hAnsiTheme="minorHAnsi"/>
          <w:sz w:val="22"/>
          <w:szCs w:val="22"/>
        </w:rPr>
        <w:t>P</w:t>
      </w:r>
      <w:r w:rsidR="00FC049D" w:rsidRPr="000D5EB5">
        <w:rPr>
          <w:rFonts w:asciiTheme="minorHAnsi" w:hAnsiTheme="minorHAnsi"/>
          <w:sz w:val="22"/>
          <w:szCs w:val="22"/>
        </w:rPr>
        <w:t xml:space="preserve">odczas wprowadzenia do oceny </w:t>
      </w:r>
      <w:r w:rsidRPr="000D5EB5">
        <w:rPr>
          <w:rFonts w:asciiTheme="minorHAnsi" w:hAnsiTheme="minorHAnsi"/>
          <w:sz w:val="22"/>
          <w:szCs w:val="22"/>
        </w:rPr>
        <w:t>Narodowa Agencja przekaże ekspertom instrukcje techniczne n</w:t>
      </w:r>
      <w:r w:rsidR="00FC049D">
        <w:rPr>
          <w:rFonts w:asciiTheme="minorHAnsi" w:hAnsiTheme="minorHAnsi"/>
          <w:sz w:val="22"/>
          <w:szCs w:val="22"/>
        </w:rPr>
        <w:t xml:space="preserve">a </w:t>
      </w:r>
      <w:r w:rsidRPr="000D5EB5">
        <w:rPr>
          <w:rFonts w:asciiTheme="minorHAnsi" w:hAnsiTheme="minorHAnsi"/>
          <w:sz w:val="22"/>
          <w:szCs w:val="22"/>
        </w:rPr>
        <w:t>t</w:t>
      </w:r>
      <w:r w:rsidR="00FC049D">
        <w:rPr>
          <w:rFonts w:asciiTheme="minorHAnsi" w:hAnsiTheme="minorHAnsi"/>
          <w:sz w:val="22"/>
          <w:szCs w:val="22"/>
        </w:rPr>
        <w:t>emat</w:t>
      </w:r>
      <w:r w:rsidRPr="000D5EB5">
        <w:rPr>
          <w:rFonts w:asciiTheme="minorHAnsi" w:hAnsiTheme="minorHAnsi"/>
          <w:sz w:val="22"/>
          <w:szCs w:val="22"/>
        </w:rPr>
        <w:t xml:space="preserve"> korzystania z OEET.</w:t>
      </w:r>
    </w:p>
    <w:p w:rsidR="009D008C" w:rsidRPr="000D5EB5" w:rsidRDefault="009D008C" w:rsidP="00C371FE">
      <w:pPr>
        <w:pStyle w:val="Teksttreci1"/>
        <w:spacing w:before="120" w:after="120"/>
        <w:ind w:left="20" w:right="40"/>
        <w:rPr>
          <w:rFonts w:asciiTheme="minorHAnsi" w:hAnsiTheme="minorHAnsi" w:cs="Microsoft Sans Serif"/>
          <w:sz w:val="22"/>
          <w:szCs w:val="22"/>
        </w:rPr>
      </w:pPr>
      <w:r w:rsidRPr="000D5EB5">
        <w:rPr>
          <w:rFonts w:asciiTheme="minorHAnsi" w:hAnsiTheme="minorHAnsi"/>
          <w:sz w:val="22"/>
          <w:szCs w:val="22"/>
        </w:rPr>
        <w:t xml:space="preserve">Standardowe formularze oceny merytorycznej zostały opracowane przez Komisję Europejską i są stosowane we wszystkich krajach uczestniczących w programie w celu zapewnienia spójnej oceny wniosków we wszystkich krajach. Eksperci analizują zagadnienia, które należy uwzględnić w ramach </w:t>
      </w:r>
      <w:r w:rsidR="00FC049D">
        <w:rPr>
          <w:rFonts w:asciiTheme="minorHAnsi" w:hAnsiTheme="minorHAnsi"/>
          <w:sz w:val="22"/>
          <w:szCs w:val="22"/>
        </w:rPr>
        <w:t>każdego kryterium oceny, wpisują</w:t>
      </w:r>
      <w:r w:rsidRPr="000D5EB5">
        <w:rPr>
          <w:rFonts w:asciiTheme="minorHAnsi" w:hAnsiTheme="minorHAnsi"/>
          <w:sz w:val="22"/>
          <w:szCs w:val="22"/>
        </w:rPr>
        <w:t xml:space="preserve"> punkty </w:t>
      </w:r>
      <w:r w:rsidR="00FC049D">
        <w:rPr>
          <w:rFonts w:asciiTheme="minorHAnsi" w:hAnsiTheme="minorHAnsi"/>
          <w:sz w:val="22"/>
          <w:szCs w:val="22"/>
        </w:rPr>
        <w:t xml:space="preserve">i </w:t>
      </w:r>
      <w:r w:rsidRPr="000D5EB5">
        <w:rPr>
          <w:rFonts w:asciiTheme="minorHAnsi" w:hAnsiTheme="minorHAnsi"/>
          <w:sz w:val="22"/>
          <w:szCs w:val="22"/>
        </w:rPr>
        <w:t>komentarze n</w:t>
      </w:r>
      <w:r w:rsidR="00FC049D">
        <w:rPr>
          <w:rFonts w:asciiTheme="minorHAnsi" w:hAnsiTheme="minorHAnsi"/>
          <w:sz w:val="22"/>
          <w:szCs w:val="22"/>
        </w:rPr>
        <w:t xml:space="preserve">a </w:t>
      </w:r>
      <w:r w:rsidRPr="000D5EB5">
        <w:rPr>
          <w:rFonts w:asciiTheme="minorHAnsi" w:hAnsiTheme="minorHAnsi"/>
          <w:sz w:val="22"/>
          <w:szCs w:val="22"/>
        </w:rPr>
        <w:t>t</w:t>
      </w:r>
      <w:r w:rsidR="00FC049D">
        <w:rPr>
          <w:rFonts w:asciiTheme="minorHAnsi" w:hAnsiTheme="minorHAnsi"/>
          <w:sz w:val="22"/>
          <w:szCs w:val="22"/>
        </w:rPr>
        <w:t xml:space="preserve">emat każdego kryterium i </w:t>
      </w:r>
      <w:r w:rsidRPr="000D5EB5">
        <w:rPr>
          <w:rFonts w:asciiTheme="minorHAnsi" w:hAnsiTheme="minorHAnsi"/>
          <w:sz w:val="22"/>
          <w:szCs w:val="22"/>
        </w:rPr>
        <w:t>całego wniosku (por. rozdział 3.3).</w:t>
      </w:r>
    </w:p>
    <w:p w:rsidR="009D008C" w:rsidRPr="000D5EB5" w:rsidRDefault="009D008C" w:rsidP="00C371FE">
      <w:pPr>
        <w:pStyle w:val="Teksttreci1"/>
        <w:spacing w:before="120" w:after="120"/>
        <w:ind w:left="20" w:right="40"/>
        <w:rPr>
          <w:rFonts w:asciiTheme="minorHAnsi" w:hAnsiTheme="minorHAnsi" w:cs="Microsoft Sans Serif"/>
          <w:sz w:val="22"/>
          <w:szCs w:val="22"/>
        </w:rPr>
      </w:pPr>
      <w:r w:rsidRPr="000D5EB5">
        <w:rPr>
          <w:rFonts w:asciiTheme="minorHAnsi" w:hAnsiTheme="minorHAnsi"/>
          <w:sz w:val="22"/>
          <w:szCs w:val="22"/>
        </w:rPr>
        <w:t>Po zakończeniu oceny, każdy ekspert zatwierdza  swoją indywidualną ocenę w OEET i tym samym potwierdza, że w jego przypadku nie występuje konflikt interesów w odniesieniu do ocenianego wniosku.</w:t>
      </w:r>
    </w:p>
    <w:p w:rsidR="009D008C" w:rsidRDefault="009D008C" w:rsidP="00C371FE">
      <w:pPr>
        <w:pStyle w:val="Teksttreci1"/>
        <w:spacing w:before="120" w:after="120" w:line="240" w:lineRule="exact"/>
        <w:ind w:left="20" w:right="40"/>
        <w:rPr>
          <w:rFonts w:asciiTheme="minorHAnsi" w:hAnsiTheme="minorHAnsi"/>
          <w:sz w:val="22"/>
          <w:szCs w:val="22"/>
        </w:rPr>
      </w:pPr>
      <w:bookmarkStart w:id="12" w:name="bookmark17"/>
      <w:r w:rsidRPr="000D5EB5">
        <w:rPr>
          <w:rFonts w:asciiTheme="minorHAnsi" w:hAnsiTheme="minorHAnsi"/>
          <w:sz w:val="22"/>
          <w:szCs w:val="22"/>
        </w:rPr>
        <w:t>W ramach oceny jakościowej, eksperci mogą zostać poproszeni o podanie informacji n</w:t>
      </w:r>
      <w:r w:rsidR="00FC049D">
        <w:rPr>
          <w:rFonts w:asciiTheme="minorHAnsi" w:hAnsiTheme="minorHAnsi"/>
          <w:sz w:val="22"/>
          <w:szCs w:val="22"/>
        </w:rPr>
        <w:t xml:space="preserve">a </w:t>
      </w:r>
      <w:r w:rsidRPr="000D5EB5">
        <w:rPr>
          <w:rFonts w:asciiTheme="minorHAnsi" w:hAnsiTheme="minorHAnsi"/>
          <w:sz w:val="22"/>
          <w:szCs w:val="22"/>
        </w:rPr>
        <w:t>t</w:t>
      </w:r>
      <w:r w:rsidR="00FC049D">
        <w:rPr>
          <w:rFonts w:asciiTheme="minorHAnsi" w:hAnsiTheme="minorHAnsi"/>
          <w:sz w:val="22"/>
          <w:szCs w:val="22"/>
        </w:rPr>
        <w:t>emat</w:t>
      </w:r>
      <w:r w:rsidRPr="000D5EB5">
        <w:rPr>
          <w:rFonts w:asciiTheme="minorHAnsi" w:hAnsiTheme="minorHAnsi"/>
          <w:sz w:val="22"/>
          <w:szCs w:val="22"/>
        </w:rPr>
        <w:t xml:space="preserve"> danych zawartych we wnioskach, które są zbierane do celów statystycznych. Eksperci będą zobowiązani wpisać takie</w:t>
      </w:r>
      <w:r w:rsidR="00FC049D">
        <w:rPr>
          <w:rFonts w:asciiTheme="minorHAnsi" w:hAnsiTheme="minorHAnsi"/>
          <w:sz w:val="22"/>
          <w:szCs w:val="22"/>
        </w:rPr>
        <w:t xml:space="preserve"> dane</w:t>
      </w:r>
      <w:r w:rsidRPr="000D5EB5">
        <w:rPr>
          <w:rFonts w:asciiTheme="minorHAnsi" w:hAnsiTheme="minorHAnsi"/>
          <w:sz w:val="22"/>
          <w:szCs w:val="22"/>
        </w:rPr>
        <w:t xml:space="preserve"> w OEET.</w:t>
      </w:r>
      <w:bookmarkEnd w:id="12"/>
    </w:p>
    <w:p w:rsidR="00C371FE" w:rsidRPr="000D5EB5" w:rsidRDefault="00C371FE" w:rsidP="00C371FE">
      <w:pPr>
        <w:pStyle w:val="Teksttreci1"/>
        <w:spacing w:before="120" w:after="120" w:line="240" w:lineRule="exact"/>
        <w:ind w:left="20" w:right="40"/>
        <w:rPr>
          <w:rFonts w:asciiTheme="minorHAnsi" w:hAnsiTheme="minorHAnsi" w:cs="Microsoft Sans Serif"/>
          <w:sz w:val="22"/>
          <w:szCs w:val="22"/>
        </w:rPr>
      </w:pPr>
    </w:p>
    <w:p w:rsidR="00C371FE" w:rsidRDefault="00C371FE" w:rsidP="00C371FE">
      <w:pPr>
        <w:pStyle w:val="Nagwek31"/>
        <w:spacing w:before="120" w:after="120" w:line="240" w:lineRule="auto"/>
        <w:ind w:left="23"/>
        <w:rPr>
          <w:rStyle w:val="Nagwek33"/>
          <w:rFonts w:asciiTheme="minorHAnsi" w:hAnsiTheme="minorHAnsi"/>
          <w:b/>
          <w:sz w:val="22"/>
          <w:szCs w:val="22"/>
        </w:rPr>
      </w:pPr>
      <w:bookmarkStart w:id="13" w:name="_Toc383878275"/>
    </w:p>
    <w:p w:rsidR="00C371FE" w:rsidRDefault="00C371FE" w:rsidP="00C371FE">
      <w:pPr>
        <w:pStyle w:val="Nagwek31"/>
        <w:spacing w:before="120" w:after="120" w:line="240" w:lineRule="auto"/>
        <w:ind w:left="23"/>
        <w:rPr>
          <w:rStyle w:val="Nagwek33"/>
          <w:rFonts w:asciiTheme="minorHAnsi" w:hAnsiTheme="minorHAnsi"/>
          <w:b/>
          <w:sz w:val="22"/>
          <w:szCs w:val="22"/>
        </w:rPr>
      </w:pPr>
    </w:p>
    <w:p w:rsidR="00C371FE" w:rsidRDefault="00C371FE" w:rsidP="00C371FE">
      <w:pPr>
        <w:pStyle w:val="Nagwek31"/>
        <w:spacing w:before="120" w:after="120" w:line="240" w:lineRule="auto"/>
        <w:ind w:left="23"/>
        <w:rPr>
          <w:rStyle w:val="Nagwek33"/>
          <w:rFonts w:asciiTheme="minorHAnsi" w:hAnsiTheme="minorHAnsi"/>
          <w:b/>
          <w:sz w:val="22"/>
          <w:szCs w:val="22"/>
        </w:rPr>
      </w:pPr>
    </w:p>
    <w:p w:rsidR="009D008C" w:rsidRPr="009155BB" w:rsidRDefault="009D008C" w:rsidP="00C371FE">
      <w:pPr>
        <w:pStyle w:val="Nagwek31"/>
        <w:spacing w:before="120" w:after="120" w:line="240" w:lineRule="auto"/>
        <w:ind w:left="23"/>
        <w:rPr>
          <w:rFonts w:asciiTheme="minorHAnsi" w:hAnsiTheme="minorHAnsi" w:cs="Microsoft Sans Serif"/>
          <w:b w:val="0"/>
          <w:sz w:val="22"/>
          <w:szCs w:val="22"/>
        </w:rPr>
      </w:pPr>
      <w:r w:rsidRPr="009155BB">
        <w:rPr>
          <w:rStyle w:val="Nagwek33"/>
          <w:rFonts w:asciiTheme="minorHAnsi" w:hAnsiTheme="minorHAnsi"/>
          <w:b/>
          <w:sz w:val="22"/>
          <w:szCs w:val="22"/>
        </w:rPr>
        <w:t>3.3 Kryteria oceny i punktacja</w:t>
      </w:r>
      <w:bookmarkEnd w:id="13"/>
    </w:p>
    <w:p w:rsidR="009D008C" w:rsidRPr="000D5EB5" w:rsidRDefault="009D008C" w:rsidP="00C371FE">
      <w:pPr>
        <w:pStyle w:val="Teksttreci1"/>
        <w:spacing w:before="120" w:after="120"/>
        <w:ind w:left="20" w:right="40"/>
        <w:rPr>
          <w:rFonts w:asciiTheme="minorHAnsi" w:hAnsiTheme="minorHAnsi" w:cs="Microsoft Sans Serif"/>
          <w:sz w:val="22"/>
          <w:szCs w:val="22"/>
        </w:rPr>
      </w:pPr>
      <w:r w:rsidRPr="000D5EB5">
        <w:rPr>
          <w:rFonts w:asciiTheme="minorHAnsi" w:hAnsiTheme="minorHAnsi"/>
          <w:sz w:val="22"/>
          <w:szCs w:val="22"/>
        </w:rPr>
        <w:t xml:space="preserve">Eksperci oceniają wnioski zgodnie z kryteriami oceny określonymi w </w:t>
      </w:r>
      <w:r w:rsidRPr="000D5EB5">
        <w:rPr>
          <w:rStyle w:val="Teksttreci50"/>
          <w:rFonts w:asciiTheme="minorHAnsi" w:hAnsiTheme="minorHAnsi"/>
          <w:sz w:val="22"/>
          <w:szCs w:val="22"/>
        </w:rPr>
        <w:t>Przewodniku po programie</w:t>
      </w:r>
      <w:r w:rsidRPr="000D5EB5">
        <w:rPr>
          <w:rFonts w:asciiTheme="minorHAnsi" w:hAnsiTheme="minorHAnsi"/>
          <w:sz w:val="22"/>
          <w:szCs w:val="22"/>
        </w:rPr>
        <w:t>. Kryteria oceny zostały wyszczególnione i objaśnione w załącznikach 1-4 do niniejszego Przewodnika:</w:t>
      </w:r>
    </w:p>
    <w:p w:rsidR="00FC049D" w:rsidRPr="00FC049D" w:rsidRDefault="009D008C" w:rsidP="00C371FE">
      <w:pPr>
        <w:pStyle w:val="Teksttreci111"/>
        <w:numPr>
          <w:ilvl w:val="0"/>
          <w:numId w:val="7"/>
        </w:numPr>
        <w:tabs>
          <w:tab w:val="left" w:pos="1069"/>
        </w:tabs>
        <w:spacing w:before="120" w:after="120" w:line="240" w:lineRule="auto"/>
        <w:jc w:val="both"/>
        <w:rPr>
          <w:rFonts w:asciiTheme="minorHAnsi" w:hAnsiTheme="minorHAnsi"/>
          <w:sz w:val="22"/>
          <w:szCs w:val="22"/>
        </w:rPr>
      </w:pPr>
      <w:r w:rsidRPr="000D5EB5">
        <w:rPr>
          <w:rFonts w:asciiTheme="minorHAnsi" w:hAnsiTheme="minorHAnsi"/>
          <w:sz w:val="22"/>
          <w:szCs w:val="22"/>
        </w:rPr>
        <w:t xml:space="preserve">Załącznik 1. Akcja 1: </w:t>
      </w:r>
      <w:r w:rsidRPr="000D5EB5">
        <w:rPr>
          <w:rFonts w:ascii="Calibri" w:eastAsia="Calibri" w:hAnsi="Calibri"/>
          <w:sz w:val="22"/>
          <w:szCs w:val="22"/>
        </w:rPr>
        <w:t>Akredytacja grupy organizacji (konsorcjum) ubiegających się o dofinansowanie wyjazdów w celach edukacyjnych w sektorze szkolnictwa wyższego</w:t>
      </w:r>
    </w:p>
    <w:p w:rsidR="009D008C" w:rsidRDefault="009D008C" w:rsidP="00C371FE">
      <w:pPr>
        <w:pStyle w:val="Teksttreci111"/>
        <w:numPr>
          <w:ilvl w:val="0"/>
          <w:numId w:val="7"/>
        </w:numPr>
        <w:tabs>
          <w:tab w:val="left" w:pos="1069"/>
        </w:tabs>
        <w:spacing w:before="120" w:after="120"/>
        <w:rPr>
          <w:rFonts w:asciiTheme="minorHAnsi" w:hAnsiTheme="minorHAnsi"/>
          <w:sz w:val="22"/>
          <w:szCs w:val="22"/>
        </w:rPr>
      </w:pPr>
      <w:r w:rsidRPr="00FC049D" w:rsidDel="00753F53">
        <w:rPr>
          <w:rFonts w:asciiTheme="minorHAnsi" w:hAnsiTheme="minorHAnsi"/>
          <w:sz w:val="22"/>
          <w:szCs w:val="22"/>
        </w:rPr>
        <w:t xml:space="preserve"> </w:t>
      </w:r>
      <w:r w:rsidRPr="000D5EB5">
        <w:rPr>
          <w:rFonts w:asciiTheme="minorHAnsi" w:hAnsiTheme="minorHAnsi"/>
          <w:sz w:val="22"/>
          <w:szCs w:val="22"/>
        </w:rPr>
        <w:t>Załącznik 2. Akcja 1: Projekty Mobilności edukacyjnej dla</w:t>
      </w:r>
      <w:r w:rsidRPr="000D5EB5">
        <w:rPr>
          <w:rStyle w:val="Odwoanieprzypisudolnego"/>
          <w:rFonts w:asciiTheme="minorHAnsi" w:hAnsiTheme="minorHAnsi"/>
          <w:sz w:val="22"/>
          <w:szCs w:val="22"/>
        </w:rPr>
        <w:footnoteReference w:id="5"/>
      </w:r>
      <w:r w:rsidRPr="000D5EB5">
        <w:rPr>
          <w:rFonts w:asciiTheme="minorHAnsi" w:hAnsiTheme="minorHAnsi"/>
          <w:sz w:val="22"/>
          <w:szCs w:val="22"/>
        </w:rPr>
        <w:t>:</w:t>
      </w:r>
    </w:p>
    <w:p w:rsidR="009D008C" w:rsidRDefault="009D008C" w:rsidP="00C371FE">
      <w:pPr>
        <w:pStyle w:val="Teksttreci111"/>
        <w:numPr>
          <w:ilvl w:val="0"/>
          <w:numId w:val="8"/>
        </w:numPr>
        <w:tabs>
          <w:tab w:val="left" w:pos="1069"/>
        </w:tabs>
        <w:spacing w:before="120" w:after="120"/>
        <w:rPr>
          <w:rFonts w:asciiTheme="minorHAnsi" w:hAnsiTheme="minorHAnsi"/>
          <w:sz w:val="22"/>
          <w:szCs w:val="22"/>
        </w:rPr>
      </w:pPr>
      <w:r w:rsidRPr="00FC049D">
        <w:rPr>
          <w:rFonts w:asciiTheme="minorHAnsi" w:hAnsiTheme="minorHAnsi"/>
          <w:sz w:val="22"/>
          <w:szCs w:val="22"/>
        </w:rPr>
        <w:t>kadry edukacji szkolnej</w:t>
      </w:r>
    </w:p>
    <w:p w:rsidR="009D008C" w:rsidRDefault="009D008C" w:rsidP="00C371FE">
      <w:pPr>
        <w:pStyle w:val="Teksttreci111"/>
        <w:numPr>
          <w:ilvl w:val="0"/>
          <w:numId w:val="8"/>
        </w:numPr>
        <w:tabs>
          <w:tab w:val="left" w:pos="1069"/>
        </w:tabs>
        <w:spacing w:before="120" w:after="120"/>
        <w:rPr>
          <w:rFonts w:asciiTheme="minorHAnsi" w:hAnsiTheme="minorHAnsi"/>
          <w:sz w:val="22"/>
          <w:szCs w:val="22"/>
        </w:rPr>
      </w:pPr>
      <w:r w:rsidRPr="00FC049D">
        <w:rPr>
          <w:rFonts w:asciiTheme="minorHAnsi" w:hAnsiTheme="minorHAnsi"/>
          <w:sz w:val="22"/>
          <w:szCs w:val="22"/>
        </w:rPr>
        <w:t>osób uczących się i kadry w ramach kształcenia zawodowego</w:t>
      </w:r>
    </w:p>
    <w:p w:rsidR="009D008C" w:rsidRDefault="009D008C" w:rsidP="00C371FE">
      <w:pPr>
        <w:pStyle w:val="Teksttreci111"/>
        <w:numPr>
          <w:ilvl w:val="0"/>
          <w:numId w:val="8"/>
        </w:numPr>
        <w:tabs>
          <w:tab w:val="left" w:pos="1069"/>
        </w:tabs>
        <w:spacing w:before="120" w:after="120"/>
        <w:rPr>
          <w:rFonts w:asciiTheme="minorHAnsi" w:hAnsiTheme="minorHAnsi"/>
          <w:sz w:val="22"/>
          <w:szCs w:val="22"/>
        </w:rPr>
      </w:pPr>
      <w:r w:rsidRPr="00FC049D">
        <w:rPr>
          <w:rFonts w:asciiTheme="minorHAnsi" w:hAnsiTheme="minorHAnsi"/>
          <w:sz w:val="22"/>
          <w:szCs w:val="22"/>
        </w:rPr>
        <w:t>kadry edukacji dorosłych</w:t>
      </w:r>
    </w:p>
    <w:p w:rsidR="009D008C" w:rsidRPr="00FC049D" w:rsidRDefault="009D008C" w:rsidP="00C371FE">
      <w:pPr>
        <w:pStyle w:val="Teksttreci111"/>
        <w:numPr>
          <w:ilvl w:val="0"/>
          <w:numId w:val="8"/>
        </w:numPr>
        <w:tabs>
          <w:tab w:val="left" w:pos="1069"/>
        </w:tabs>
        <w:spacing w:before="120" w:after="120"/>
        <w:rPr>
          <w:rFonts w:asciiTheme="minorHAnsi" w:hAnsiTheme="minorHAnsi"/>
          <w:sz w:val="22"/>
          <w:szCs w:val="22"/>
        </w:rPr>
      </w:pPr>
      <w:r w:rsidRPr="00FC049D">
        <w:rPr>
          <w:rFonts w:asciiTheme="minorHAnsi" w:hAnsiTheme="minorHAnsi"/>
          <w:sz w:val="22"/>
          <w:szCs w:val="22"/>
        </w:rPr>
        <w:t>młodzieży i osób pracujących z młodzieżą</w:t>
      </w:r>
    </w:p>
    <w:p w:rsidR="009D008C" w:rsidRDefault="009D008C" w:rsidP="00C371FE">
      <w:pPr>
        <w:pStyle w:val="Teksttreci111"/>
        <w:numPr>
          <w:ilvl w:val="0"/>
          <w:numId w:val="9"/>
        </w:numPr>
        <w:spacing w:before="120" w:after="120" w:line="246" w:lineRule="exact"/>
        <w:ind w:right="40" w:firstLine="66"/>
        <w:rPr>
          <w:rFonts w:asciiTheme="minorHAnsi" w:hAnsiTheme="minorHAnsi"/>
          <w:sz w:val="22"/>
          <w:szCs w:val="22"/>
        </w:rPr>
      </w:pPr>
      <w:r w:rsidRPr="000D5EB5">
        <w:rPr>
          <w:rFonts w:asciiTheme="minorHAnsi" w:hAnsiTheme="minorHAnsi"/>
          <w:sz w:val="22"/>
          <w:szCs w:val="22"/>
        </w:rPr>
        <w:t>Załącznik 3. Akcja 2: Partnerstwa strategiczne w sektorze edukacji, szkoleń i młodzieży</w:t>
      </w:r>
    </w:p>
    <w:p w:rsidR="009D008C" w:rsidRPr="00FC049D" w:rsidRDefault="00FC049D" w:rsidP="00C371FE">
      <w:pPr>
        <w:pStyle w:val="Teksttreci111"/>
        <w:numPr>
          <w:ilvl w:val="0"/>
          <w:numId w:val="9"/>
        </w:numPr>
        <w:spacing w:before="120" w:after="120" w:line="246" w:lineRule="exact"/>
        <w:ind w:left="709" w:right="40" w:hanging="283"/>
        <w:jc w:val="both"/>
        <w:rPr>
          <w:rFonts w:asciiTheme="minorHAnsi" w:hAnsiTheme="minorHAnsi"/>
          <w:sz w:val="22"/>
          <w:szCs w:val="22"/>
        </w:rPr>
      </w:pPr>
      <w:r>
        <w:rPr>
          <w:rFonts w:asciiTheme="minorHAnsi" w:hAnsiTheme="minorHAnsi"/>
          <w:sz w:val="22"/>
          <w:szCs w:val="22"/>
        </w:rPr>
        <w:t>Z</w:t>
      </w:r>
      <w:r w:rsidR="009D008C" w:rsidRPr="00FC049D">
        <w:rPr>
          <w:rFonts w:asciiTheme="minorHAnsi" w:hAnsiTheme="minorHAnsi"/>
          <w:sz w:val="22"/>
          <w:szCs w:val="22"/>
        </w:rPr>
        <w:t>ałącznik 4. Akcja 3: Dialog usystematyzow</w:t>
      </w:r>
      <w:r>
        <w:rPr>
          <w:rFonts w:asciiTheme="minorHAnsi" w:hAnsiTheme="minorHAnsi"/>
          <w:sz w:val="22"/>
          <w:szCs w:val="22"/>
        </w:rPr>
        <w:t xml:space="preserve">any: spotkania młodzieży i osób </w:t>
      </w:r>
      <w:r w:rsidR="009D008C" w:rsidRPr="00FC049D">
        <w:rPr>
          <w:rFonts w:asciiTheme="minorHAnsi" w:hAnsiTheme="minorHAnsi"/>
          <w:sz w:val="22"/>
          <w:szCs w:val="22"/>
        </w:rPr>
        <w:t>odpowiedzialnych za tworzenie polityki.</w:t>
      </w:r>
      <w:r w:rsidR="009D008C" w:rsidRPr="00FC049D" w:rsidDel="00753F53">
        <w:rPr>
          <w:rFonts w:asciiTheme="minorHAnsi" w:hAnsiTheme="minorHAnsi"/>
          <w:sz w:val="22"/>
          <w:szCs w:val="22"/>
        </w:rPr>
        <w:t xml:space="preserve"> </w:t>
      </w:r>
    </w:p>
    <w:p w:rsidR="009D008C" w:rsidRPr="000D5EB5" w:rsidRDefault="009D008C" w:rsidP="00C371FE">
      <w:pPr>
        <w:pStyle w:val="Teksttreci111"/>
        <w:tabs>
          <w:tab w:val="left" w:pos="1069"/>
        </w:tabs>
        <w:spacing w:before="120" w:after="120" w:line="246" w:lineRule="exact"/>
        <w:ind w:left="-340" w:right="40" w:firstLine="0"/>
        <w:jc w:val="both"/>
        <w:rPr>
          <w:rFonts w:asciiTheme="minorHAnsi" w:hAnsiTheme="minorHAnsi" w:cs="Microsoft Sans Serif"/>
          <w:sz w:val="22"/>
          <w:szCs w:val="22"/>
        </w:rPr>
      </w:pPr>
      <w:r w:rsidRPr="000D5EB5">
        <w:rPr>
          <w:rFonts w:asciiTheme="minorHAnsi" w:hAnsiTheme="minorHAnsi"/>
          <w:sz w:val="22"/>
          <w:szCs w:val="22"/>
        </w:rPr>
        <w:t xml:space="preserve">Każde kryterium oceny zostało zdefiniowane za pomocą kilku </w:t>
      </w:r>
      <w:proofErr w:type="spellStart"/>
      <w:r w:rsidRPr="000D5EB5">
        <w:rPr>
          <w:rFonts w:asciiTheme="minorHAnsi" w:hAnsiTheme="minorHAnsi"/>
          <w:sz w:val="22"/>
          <w:szCs w:val="22"/>
        </w:rPr>
        <w:t>podkryteriów</w:t>
      </w:r>
      <w:proofErr w:type="spellEnd"/>
      <w:r w:rsidRPr="000D5EB5">
        <w:rPr>
          <w:rFonts w:asciiTheme="minorHAnsi" w:hAnsiTheme="minorHAnsi"/>
          <w:sz w:val="22"/>
          <w:szCs w:val="22"/>
        </w:rPr>
        <w:t xml:space="preserve"> , które eksperci muszą uwzględnić podczas oceny wniosku. </w:t>
      </w:r>
      <w:proofErr w:type="spellStart"/>
      <w:r w:rsidRPr="000D5EB5">
        <w:rPr>
          <w:rFonts w:asciiTheme="minorHAnsi" w:hAnsiTheme="minorHAnsi"/>
          <w:sz w:val="22"/>
          <w:szCs w:val="22"/>
        </w:rPr>
        <w:t>Podkryteria</w:t>
      </w:r>
      <w:proofErr w:type="spellEnd"/>
      <w:r w:rsidRPr="000D5EB5">
        <w:rPr>
          <w:rFonts w:asciiTheme="minorHAnsi" w:hAnsiTheme="minorHAnsi"/>
          <w:sz w:val="22"/>
          <w:szCs w:val="22"/>
        </w:rPr>
        <w:t xml:space="preserve"> </w:t>
      </w:r>
      <w:r w:rsidR="00FC049D">
        <w:rPr>
          <w:rFonts w:asciiTheme="minorHAnsi" w:hAnsiTheme="minorHAnsi"/>
          <w:sz w:val="22"/>
          <w:szCs w:val="22"/>
        </w:rPr>
        <w:t xml:space="preserve">te stanowią wyczerpującą listę </w:t>
      </w:r>
      <w:r w:rsidRPr="000D5EB5">
        <w:rPr>
          <w:rFonts w:asciiTheme="minorHAnsi" w:hAnsiTheme="minorHAnsi"/>
          <w:sz w:val="22"/>
          <w:szCs w:val="22"/>
        </w:rPr>
        <w:t>elementów, które należy wziąć pod</w:t>
      </w:r>
      <w:r w:rsidR="005D5D0D">
        <w:rPr>
          <w:rFonts w:asciiTheme="minorHAnsi" w:hAnsiTheme="minorHAnsi"/>
          <w:sz w:val="22"/>
          <w:szCs w:val="22"/>
        </w:rPr>
        <w:t xml:space="preserve"> uwagę przed przyznaniem punktacji</w:t>
      </w:r>
      <w:r w:rsidRPr="000D5EB5">
        <w:rPr>
          <w:rFonts w:asciiTheme="minorHAnsi" w:hAnsiTheme="minorHAnsi"/>
          <w:sz w:val="22"/>
          <w:szCs w:val="22"/>
        </w:rPr>
        <w:t xml:space="preserve"> za </w:t>
      </w:r>
      <w:r w:rsidR="005D5D0D">
        <w:rPr>
          <w:rFonts w:asciiTheme="minorHAnsi" w:hAnsiTheme="minorHAnsi"/>
          <w:sz w:val="22"/>
          <w:szCs w:val="22"/>
        </w:rPr>
        <w:t xml:space="preserve">spełnienie </w:t>
      </w:r>
      <w:r w:rsidRPr="000D5EB5">
        <w:rPr>
          <w:rFonts w:asciiTheme="minorHAnsi" w:hAnsiTheme="minorHAnsi"/>
          <w:sz w:val="22"/>
          <w:szCs w:val="22"/>
        </w:rPr>
        <w:t>dane</w:t>
      </w:r>
      <w:r w:rsidR="005D5D0D">
        <w:rPr>
          <w:rFonts w:asciiTheme="minorHAnsi" w:hAnsiTheme="minorHAnsi"/>
          <w:sz w:val="22"/>
          <w:szCs w:val="22"/>
        </w:rPr>
        <w:t>go</w:t>
      </w:r>
      <w:r w:rsidRPr="000D5EB5">
        <w:rPr>
          <w:rFonts w:asciiTheme="minorHAnsi" w:hAnsiTheme="minorHAnsi"/>
          <w:sz w:val="22"/>
          <w:szCs w:val="22"/>
        </w:rPr>
        <w:t xml:space="preserve"> kryterium. Mają</w:t>
      </w:r>
      <w:r w:rsidR="005D5D0D">
        <w:rPr>
          <w:rFonts w:asciiTheme="minorHAnsi" w:hAnsiTheme="minorHAnsi"/>
          <w:sz w:val="22"/>
          <w:szCs w:val="22"/>
        </w:rPr>
        <w:t xml:space="preserve"> one pomóc ekspertom dokonać </w:t>
      </w:r>
      <w:proofErr w:type="spellStart"/>
      <w:r w:rsidR="005D5D0D">
        <w:rPr>
          <w:rFonts w:asciiTheme="minorHAnsi" w:hAnsiTheme="minorHAnsi"/>
          <w:sz w:val="22"/>
          <w:szCs w:val="22"/>
        </w:rPr>
        <w:t>sumatywnej</w:t>
      </w:r>
      <w:proofErr w:type="spellEnd"/>
      <w:r w:rsidR="005D5D0D">
        <w:rPr>
          <w:rFonts w:asciiTheme="minorHAnsi" w:hAnsiTheme="minorHAnsi"/>
          <w:sz w:val="22"/>
          <w:szCs w:val="22"/>
        </w:rPr>
        <w:t xml:space="preserve"> </w:t>
      </w:r>
      <w:r w:rsidRPr="000D5EB5">
        <w:rPr>
          <w:rFonts w:asciiTheme="minorHAnsi" w:hAnsiTheme="minorHAnsi"/>
          <w:sz w:val="22"/>
          <w:szCs w:val="22"/>
        </w:rPr>
        <w:t>oceny danego k</w:t>
      </w:r>
      <w:r w:rsidR="005D5D0D">
        <w:rPr>
          <w:rFonts w:asciiTheme="minorHAnsi" w:hAnsiTheme="minorHAnsi"/>
          <w:sz w:val="22"/>
          <w:szCs w:val="22"/>
        </w:rPr>
        <w:t>ryterium.</w:t>
      </w:r>
      <w:r w:rsidRPr="000D5EB5">
        <w:rPr>
          <w:rFonts w:asciiTheme="minorHAnsi" w:hAnsiTheme="minorHAnsi"/>
          <w:sz w:val="22"/>
          <w:szCs w:val="22"/>
        </w:rPr>
        <w:t xml:space="preserve"> </w:t>
      </w:r>
      <w:r w:rsidR="005D5D0D">
        <w:rPr>
          <w:rFonts w:asciiTheme="minorHAnsi" w:hAnsiTheme="minorHAnsi"/>
          <w:b/>
          <w:sz w:val="22"/>
          <w:szCs w:val="22"/>
        </w:rPr>
        <w:t>N</w:t>
      </w:r>
      <w:r w:rsidR="005D5D0D" w:rsidRPr="000D5EB5">
        <w:rPr>
          <w:rFonts w:asciiTheme="minorHAnsi" w:hAnsiTheme="minorHAnsi"/>
          <w:b/>
          <w:sz w:val="22"/>
          <w:szCs w:val="22"/>
        </w:rPr>
        <w:t>ie wolno</w:t>
      </w:r>
      <w:r w:rsidR="005D5D0D" w:rsidRPr="000D5EB5">
        <w:rPr>
          <w:rFonts w:asciiTheme="minorHAnsi" w:hAnsiTheme="minorHAnsi"/>
          <w:sz w:val="22"/>
          <w:szCs w:val="22"/>
        </w:rPr>
        <w:t xml:space="preserve"> </w:t>
      </w:r>
      <w:r w:rsidRPr="000D5EB5">
        <w:rPr>
          <w:rFonts w:asciiTheme="minorHAnsi" w:hAnsiTheme="minorHAnsi"/>
          <w:sz w:val="22"/>
          <w:szCs w:val="22"/>
        </w:rPr>
        <w:t>jednak przyzna</w:t>
      </w:r>
      <w:r w:rsidR="005D5D0D">
        <w:rPr>
          <w:rFonts w:asciiTheme="minorHAnsi" w:hAnsiTheme="minorHAnsi"/>
          <w:sz w:val="22"/>
          <w:szCs w:val="22"/>
        </w:rPr>
        <w:t>wa</w:t>
      </w:r>
      <w:r w:rsidRPr="000D5EB5">
        <w:rPr>
          <w:rFonts w:asciiTheme="minorHAnsi" w:hAnsiTheme="minorHAnsi"/>
          <w:sz w:val="22"/>
          <w:szCs w:val="22"/>
        </w:rPr>
        <w:t xml:space="preserve">ć osobnych punktów za każde </w:t>
      </w:r>
      <w:proofErr w:type="spellStart"/>
      <w:r w:rsidRPr="000D5EB5">
        <w:rPr>
          <w:rFonts w:asciiTheme="minorHAnsi" w:hAnsiTheme="minorHAnsi"/>
          <w:sz w:val="22"/>
          <w:szCs w:val="22"/>
        </w:rPr>
        <w:t>podkryterium</w:t>
      </w:r>
      <w:proofErr w:type="spellEnd"/>
      <w:r w:rsidRPr="000D5EB5">
        <w:rPr>
          <w:rFonts w:asciiTheme="minorHAnsi" w:hAnsiTheme="minorHAnsi"/>
          <w:sz w:val="22"/>
          <w:szCs w:val="22"/>
        </w:rPr>
        <w:t xml:space="preserve"> </w:t>
      </w:r>
      <w:r w:rsidRPr="005D5D0D">
        <w:rPr>
          <w:rFonts w:asciiTheme="minorHAnsi" w:hAnsiTheme="minorHAnsi"/>
          <w:sz w:val="22"/>
          <w:szCs w:val="22"/>
        </w:rPr>
        <w:t>tylko brać je pod uwagę wspólnie</w:t>
      </w:r>
      <w:r w:rsidRPr="000D5EB5">
        <w:rPr>
          <w:rFonts w:asciiTheme="minorHAnsi" w:hAnsiTheme="minorHAnsi"/>
          <w:sz w:val="22"/>
          <w:szCs w:val="22"/>
        </w:rPr>
        <w:t>.</w:t>
      </w:r>
    </w:p>
    <w:p w:rsidR="009D008C" w:rsidRPr="000D5EB5" w:rsidRDefault="008261C3" w:rsidP="00C371FE">
      <w:pPr>
        <w:pStyle w:val="Teksttreci1"/>
        <w:spacing w:before="120" w:after="120"/>
        <w:ind w:left="-284" w:right="40"/>
        <w:rPr>
          <w:rFonts w:asciiTheme="minorHAnsi" w:hAnsiTheme="minorHAnsi"/>
          <w:sz w:val="22"/>
          <w:szCs w:val="22"/>
        </w:rPr>
      </w:pPr>
      <w:r>
        <w:rPr>
          <w:rFonts w:asciiTheme="minorHAnsi" w:hAnsiTheme="minorHAnsi"/>
          <w:sz w:val="22"/>
          <w:szCs w:val="22"/>
        </w:rPr>
        <w:t>S</w:t>
      </w:r>
      <w:r w:rsidR="009D008C" w:rsidRPr="000D5EB5">
        <w:rPr>
          <w:rFonts w:asciiTheme="minorHAnsi" w:hAnsiTheme="minorHAnsi"/>
          <w:sz w:val="22"/>
          <w:szCs w:val="22"/>
        </w:rPr>
        <w:t>zczegółowe informacje</w:t>
      </w:r>
      <w:r>
        <w:rPr>
          <w:rFonts w:asciiTheme="minorHAnsi" w:hAnsiTheme="minorHAnsi"/>
          <w:sz w:val="22"/>
          <w:szCs w:val="22"/>
        </w:rPr>
        <w:t xml:space="preserve"> na temat</w:t>
      </w:r>
      <w:r w:rsidR="009D008C" w:rsidRPr="000D5EB5">
        <w:rPr>
          <w:rFonts w:asciiTheme="minorHAnsi" w:hAnsiTheme="minorHAnsi"/>
          <w:sz w:val="22"/>
          <w:szCs w:val="22"/>
        </w:rPr>
        <w:t xml:space="preserve"> </w:t>
      </w:r>
      <w:r>
        <w:rPr>
          <w:rFonts w:asciiTheme="minorHAnsi" w:hAnsiTheme="minorHAnsi"/>
          <w:sz w:val="22"/>
          <w:szCs w:val="22"/>
        </w:rPr>
        <w:t xml:space="preserve">oceny poszczególnych </w:t>
      </w:r>
      <w:r w:rsidRPr="000D5EB5">
        <w:rPr>
          <w:rFonts w:asciiTheme="minorHAnsi" w:hAnsiTheme="minorHAnsi"/>
          <w:sz w:val="22"/>
          <w:szCs w:val="22"/>
        </w:rPr>
        <w:t xml:space="preserve">kryteriów </w:t>
      </w:r>
      <w:r w:rsidR="009D008C" w:rsidRPr="000D5EB5">
        <w:rPr>
          <w:rFonts w:asciiTheme="minorHAnsi" w:hAnsiTheme="minorHAnsi"/>
          <w:sz w:val="22"/>
          <w:szCs w:val="22"/>
        </w:rPr>
        <w:t>przedstawiono w wyżej wymienionych załącznikach. Tabele w załączniku 2 i 3 dotyczą osobno sektora edukacji, szkoleń i młodzieży.</w:t>
      </w:r>
    </w:p>
    <w:p w:rsidR="009D008C" w:rsidRPr="000D5EB5" w:rsidRDefault="009D008C" w:rsidP="00C371FE">
      <w:pPr>
        <w:pStyle w:val="Teksttreci1"/>
        <w:spacing w:before="120" w:after="120"/>
        <w:ind w:left="-284" w:right="40"/>
        <w:rPr>
          <w:rFonts w:asciiTheme="minorHAnsi" w:hAnsiTheme="minorHAnsi" w:cs="Microsoft Sans Serif"/>
          <w:sz w:val="22"/>
          <w:szCs w:val="22"/>
        </w:rPr>
      </w:pPr>
      <w:r w:rsidRPr="000D5EB5">
        <w:rPr>
          <w:rFonts w:asciiTheme="minorHAnsi" w:hAnsiTheme="minorHAnsi"/>
          <w:sz w:val="22"/>
          <w:szCs w:val="22"/>
        </w:rPr>
        <w:t>Podczas analizowania wniosków zgodnie z kryteriami oceny</w:t>
      </w:r>
      <w:r w:rsidR="008261C3">
        <w:rPr>
          <w:rFonts w:asciiTheme="minorHAnsi" w:hAnsiTheme="minorHAnsi"/>
          <w:sz w:val="22"/>
          <w:szCs w:val="22"/>
        </w:rPr>
        <w:t>,</w:t>
      </w:r>
      <w:r w:rsidRPr="000D5EB5">
        <w:rPr>
          <w:rFonts w:asciiTheme="minorHAnsi" w:hAnsiTheme="minorHAnsi"/>
          <w:sz w:val="22"/>
          <w:szCs w:val="22"/>
        </w:rPr>
        <w:t xml:space="preserve"> eksperci oceniają zakres, w jakim wnioski spełniają określone kryteria. Ocena ta musi się opierać na informacjach przedstawionych we wniosku. Eksperci nie mogą zakładać istnienia faktów, które nie zostały jednoznacznie przedstawione przez wnioskodawcę. Informacje dotyczące danego kryterium oceny mogą pojawić się w różnych częściach wniosku i eksperci zobowiązani są uwzględnić </w:t>
      </w:r>
      <w:r w:rsidR="008261C3">
        <w:rPr>
          <w:rFonts w:asciiTheme="minorHAnsi" w:hAnsiTheme="minorHAnsi"/>
          <w:sz w:val="22"/>
          <w:szCs w:val="22"/>
        </w:rPr>
        <w:t>je</w:t>
      </w:r>
      <w:r w:rsidRPr="000D5EB5">
        <w:rPr>
          <w:rFonts w:asciiTheme="minorHAnsi" w:hAnsiTheme="minorHAnsi"/>
          <w:sz w:val="22"/>
          <w:szCs w:val="22"/>
        </w:rPr>
        <w:t xml:space="preserve"> podczas przyznawania punktów za </w:t>
      </w:r>
      <w:r w:rsidR="008261C3">
        <w:rPr>
          <w:rFonts w:asciiTheme="minorHAnsi" w:hAnsiTheme="minorHAnsi"/>
          <w:sz w:val="22"/>
          <w:szCs w:val="22"/>
        </w:rPr>
        <w:t xml:space="preserve">spełnienie </w:t>
      </w:r>
      <w:r w:rsidRPr="000D5EB5">
        <w:rPr>
          <w:rFonts w:asciiTheme="minorHAnsi" w:hAnsiTheme="minorHAnsi"/>
          <w:sz w:val="22"/>
          <w:szCs w:val="22"/>
        </w:rPr>
        <w:t>dane</w:t>
      </w:r>
      <w:r w:rsidR="008261C3">
        <w:rPr>
          <w:rFonts w:asciiTheme="minorHAnsi" w:hAnsiTheme="minorHAnsi"/>
          <w:sz w:val="22"/>
          <w:szCs w:val="22"/>
        </w:rPr>
        <w:t>go</w:t>
      </w:r>
      <w:r w:rsidRPr="000D5EB5">
        <w:rPr>
          <w:rFonts w:asciiTheme="minorHAnsi" w:hAnsiTheme="minorHAnsi"/>
          <w:sz w:val="22"/>
          <w:szCs w:val="22"/>
        </w:rPr>
        <w:t xml:space="preserve"> kryterium oceny.</w:t>
      </w:r>
    </w:p>
    <w:p w:rsidR="009D008C" w:rsidRPr="000D5EB5" w:rsidRDefault="009D008C" w:rsidP="00C371FE">
      <w:pPr>
        <w:pStyle w:val="Teksttreci1"/>
        <w:spacing w:before="120" w:after="120"/>
        <w:ind w:left="-284" w:right="40"/>
        <w:rPr>
          <w:rFonts w:asciiTheme="minorHAnsi" w:hAnsiTheme="minorHAnsi" w:cs="Microsoft Sans Serif"/>
          <w:sz w:val="22"/>
          <w:szCs w:val="22"/>
        </w:rPr>
        <w:sectPr w:rsidR="009D008C" w:rsidRPr="000D5EB5">
          <w:pgSz w:w="11905" w:h="16837"/>
          <w:pgMar w:top="651" w:right="1388" w:bottom="1425" w:left="1702" w:header="648" w:footer="1425" w:gutter="0"/>
          <w:cols w:space="708"/>
          <w:noEndnote/>
          <w:docGrid w:linePitch="360"/>
        </w:sectPr>
      </w:pPr>
      <w:r w:rsidRPr="000D5EB5">
        <w:rPr>
          <w:rFonts w:asciiTheme="minorHAnsi" w:hAnsiTheme="minorHAnsi"/>
          <w:sz w:val="22"/>
          <w:szCs w:val="22"/>
        </w:rPr>
        <w:t xml:space="preserve">Podczas analizy wniosków o dofinansowanie, eksperci muszą mieć na uwadze typ projektu, skalę działań i wnioskowaną kwotę dofinansowania. </w:t>
      </w:r>
      <w:r w:rsidR="008261C3">
        <w:rPr>
          <w:rFonts w:asciiTheme="minorHAnsi" w:hAnsiTheme="minorHAnsi"/>
          <w:sz w:val="22"/>
          <w:szCs w:val="22"/>
        </w:rPr>
        <w:t>J</w:t>
      </w:r>
      <w:r w:rsidR="008261C3" w:rsidRPr="000D5EB5">
        <w:rPr>
          <w:rFonts w:asciiTheme="minorHAnsi" w:hAnsiTheme="minorHAnsi"/>
          <w:sz w:val="22"/>
          <w:szCs w:val="22"/>
        </w:rPr>
        <w:t>ak określo</w:t>
      </w:r>
      <w:r w:rsidR="008261C3">
        <w:rPr>
          <w:rFonts w:asciiTheme="minorHAnsi" w:hAnsiTheme="minorHAnsi"/>
          <w:sz w:val="22"/>
          <w:szCs w:val="22"/>
        </w:rPr>
        <w:t>no w załącznikach,</w:t>
      </w:r>
      <w:r w:rsidR="008261C3" w:rsidRPr="000D5EB5">
        <w:rPr>
          <w:rFonts w:asciiTheme="minorHAnsi" w:hAnsiTheme="minorHAnsi"/>
          <w:sz w:val="22"/>
          <w:szCs w:val="22"/>
        </w:rPr>
        <w:t xml:space="preserve"> podczas oceny wszystkich kryteriów eksperci muszą </w:t>
      </w:r>
      <w:r w:rsidR="008261C3">
        <w:rPr>
          <w:rFonts w:asciiTheme="minorHAnsi" w:hAnsiTheme="minorHAnsi"/>
          <w:sz w:val="22"/>
          <w:szCs w:val="22"/>
        </w:rPr>
        <w:t>kierować się zasadą</w:t>
      </w:r>
      <w:r w:rsidR="008261C3" w:rsidRPr="000D5EB5">
        <w:rPr>
          <w:rFonts w:asciiTheme="minorHAnsi" w:hAnsiTheme="minorHAnsi"/>
          <w:sz w:val="22"/>
          <w:szCs w:val="22"/>
        </w:rPr>
        <w:t xml:space="preserve"> proporcjonalności</w:t>
      </w:r>
      <w:r w:rsidR="008261C3">
        <w:rPr>
          <w:rFonts w:asciiTheme="minorHAnsi" w:hAnsiTheme="minorHAnsi"/>
          <w:sz w:val="22"/>
          <w:szCs w:val="22"/>
        </w:rPr>
        <w:t xml:space="preserve"> ponieważ</w:t>
      </w:r>
      <w:r w:rsidRPr="000D5EB5">
        <w:rPr>
          <w:rFonts w:asciiTheme="minorHAnsi" w:hAnsiTheme="minorHAnsi"/>
          <w:sz w:val="22"/>
          <w:szCs w:val="22"/>
        </w:rPr>
        <w:t xml:space="preserve"> projekty mogą różnić się </w:t>
      </w:r>
      <w:r w:rsidR="008261C3">
        <w:rPr>
          <w:rFonts w:asciiTheme="minorHAnsi" w:hAnsiTheme="minorHAnsi"/>
          <w:sz w:val="22"/>
          <w:szCs w:val="22"/>
        </w:rPr>
        <w:t xml:space="preserve">od siebie </w:t>
      </w:r>
      <w:r w:rsidRPr="000D5EB5">
        <w:rPr>
          <w:rFonts w:asciiTheme="minorHAnsi" w:hAnsiTheme="minorHAnsi"/>
          <w:sz w:val="22"/>
          <w:szCs w:val="22"/>
        </w:rPr>
        <w:t xml:space="preserve">skalą, poziomem złożoności, </w:t>
      </w:r>
      <w:r w:rsidR="008261C3">
        <w:rPr>
          <w:rFonts w:asciiTheme="minorHAnsi" w:hAnsiTheme="minorHAnsi"/>
          <w:sz w:val="22"/>
          <w:szCs w:val="22"/>
        </w:rPr>
        <w:t>doświadczeniem i potencjałem</w:t>
      </w:r>
      <w:r w:rsidRPr="000D5EB5">
        <w:rPr>
          <w:rFonts w:asciiTheme="minorHAnsi" w:hAnsiTheme="minorHAnsi"/>
          <w:sz w:val="22"/>
          <w:szCs w:val="22"/>
        </w:rPr>
        <w:t xml:space="preserve"> uczestniczących organizacji, mogą być zoriento</w:t>
      </w:r>
      <w:r w:rsidR="008261C3">
        <w:rPr>
          <w:rFonts w:asciiTheme="minorHAnsi" w:hAnsiTheme="minorHAnsi"/>
          <w:sz w:val="22"/>
          <w:szCs w:val="22"/>
        </w:rPr>
        <w:t>wane na proces lub produkt itd</w:t>
      </w:r>
      <w:r w:rsidRPr="000D5EB5">
        <w:rPr>
          <w:rFonts w:asciiTheme="minorHAnsi" w:hAnsiTheme="minorHAnsi"/>
          <w:sz w:val="22"/>
          <w:szCs w:val="22"/>
        </w:rPr>
        <w:t>.</w:t>
      </w:r>
    </w:p>
    <w:p w:rsidR="009D008C" w:rsidRPr="000D5EB5" w:rsidRDefault="009D008C" w:rsidP="00C371FE">
      <w:pPr>
        <w:pStyle w:val="Teksttreci1"/>
        <w:spacing w:before="120" w:after="120"/>
        <w:ind w:left="20" w:right="40"/>
        <w:rPr>
          <w:rFonts w:asciiTheme="minorHAnsi" w:hAnsiTheme="minorHAnsi" w:cs="Microsoft Sans Serif"/>
          <w:sz w:val="22"/>
          <w:szCs w:val="22"/>
        </w:rPr>
        <w:sectPr w:rsidR="009D008C" w:rsidRPr="000D5EB5">
          <w:pgSz w:w="11905" w:h="16837"/>
          <w:pgMar w:top="651" w:right="839" w:bottom="1435" w:left="986" w:header="648" w:footer="1435" w:gutter="0"/>
          <w:cols w:space="708"/>
          <w:noEndnote/>
          <w:docGrid w:linePitch="360"/>
        </w:sectPr>
      </w:pPr>
    </w:p>
    <w:p w:rsidR="009D008C" w:rsidRPr="000D5EB5" w:rsidRDefault="009D008C" w:rsidP="00C371FE">
      <w:pPr>
        <w:pStyle w:val="Teksttreci1"/>
        <w:spacing w:before="120" w:after="120"/>
        <w:ind w:left="426" w:right="582"/>
        <w:rPr>
          <w:rFonts w:asciiTheme="minorHAnsi" w:hAnsiTheme="minorHAnsi" w:cs="Microsoft Sans Serif"/>
          <w:sz w:val="22"/>
          <w:szCs w:val="22"/>
        </w:rPr>
      </w:pPr>
      <w:r w:rsidRPr="000D5EB5">
        <w:rPr>
          <w:rFonts w:asciiTheme="minorHAnsi" w:hAnsiTheme="minorHAnsi"/>
          <w:sz w:val="22"/>
          <w:szCs w:val="22"/>
        </w:rPr>
        <w:lastRenderedPageBreak/>
        <w:t>Wniosek, który spełnia wszystkie</w:t>
      </w:r>
      <w:r w:rsidR="00D25E9D">
        <w:rPr>
          <w:rFonts w:asciiTheme="minorHAnsi" w:hAnsiTheme="minorHAnsi"/>
          <w:sz w:val="22"/>
          <w:szCs w:val="22"/>
        </w:rPr>
        <w:t xml:space="preserve"> kryteria mające zastosowanie w</w:t>
      </w:r>
      <w:r w:rsidRPr="000D5EB5">
        <w:rPr>
          <w:rFonts w:asciiTheme="minorHAnsi" w:hAnsiTheme="minorHAnsi"/>
          <w:sz w:val="22"/>
          <w:szCs w:val="22"/>
        </w:rPr>
        <w:t xml:space="preserve"> danej akcji może uzyskać maksymalnie 100 punktów. Tabela poniżej przedstawia relatywne wagi dla każdego kryterium w odniesieniu do poszczególnych akcji zarządzanych przez Narodowe Agencje.</w:t>
      </w:r>
    </w:p>
    <w:tbl>
      <w:tblPr>
        <w:tblW w:w="10502" w:type="dxa"/>
        <w:jc w:val="center"/>
        <w:tblLayout w:type="fixed"/>
        <w:tblCellMar>
          <w:left w:w="0" w:type="dxa"/>
          <w:right w:w="0" w:type="dxa"/>
        </w:tblCellMar>
        <w:tblLook w:val="0000"/>
      </w:tblPr>
      <w:tblGrid>
        <w:gridCol w:w="1888"/>
        <w:gridCol w:w="1945"/>
        <w:gridCol w:w="2182"/>
        <w:gridCol w:w="2106"/>
        <w:gridCol w:w="2381"/>
      </w:tblGrid>
      <w:tr w:rsidR="009D008C" w:rsidRPr="002A1F42" w:rsidTr="00D25E9D">
        <w:trPr>
          <w:trHeight w:val="378"/>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21"/>
              <w:framePr w:wrap="notBeside" w:vAnchor="text" w:hAnchor="text" w:xAlign="center"/>
              <w:shd w:val="clear" w:color="auto" w:fill="auto"/>
              <w:spacing w:before="120" w:after="120" w:line="240" w:lineRule="auto"/>
              <w:ind w:left="120"/>
              <w:rPr>
                <w:rFonts w:asciiTheme="minorHAnsi" w:hAnsiTheme="minorHAnsi" w:cs="Microsoft Sans Serif"/>
              </w:rPr>
            </w:pPr>
            <w:r w:rsidRPr="00D25E9D">
              <w:rPr>
                <w:rFonts w:asciiTheme="minorHAnsi" w:hAnsiTheme="minorHAnsi"/>
              </w:rPr>
              <w:t>Kryteria oceny</w:t>
            </w:r>
          </w:p>
        </w:tc>
        <w:tc>
          <w:tcPr>
            <w:tcW w:w="86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21"/>
              <w:framePr w:wrap="notBeside" w:vAnchor="text" w:hAnchor="text" w:xAlign="center"/>
              <w:shd w:val="clear" w:color="auto" w:fill="auto"/>
              <w:spacing w:before="120" w:after="120" w:line="240" w:lineRule="auto"/>
              <w:ind w:left="1580" w:hanging="1580"/>
              <w:jc w:val="center"/>
              <w:rPr>
                <w:rFonts w:asciiTheme="minorHAnsi" w:hAnsiTheme="minorHAnsi" w:cs="Microsoft Sans Serif"/>
              </w:rPr>
            </w:pPr>
            <w:r w:rsidRPr="00D25E9D">
              <w:rPr>
                <w:rFonts w:asciiTheme="minorHAnsi" w:hAnsiTheme="minorHAnsi"/>
              </w:rPr>
              <w:t>Maksymalna liczba punktów za spełnienie danego kryterium oceny w danej akcji</w:t>
            </w:r>
          </w:p>
        </w:tc>
      </w:tr>
      <w:tr w:rsidR="009D008C" w:rsidRPr="000D5EB5" w:rsidTr="00D25E9D">
        <w:trPr>
          <w:trHeight w:val="486"/>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framePr w:wrap="notBeside" w:vAnchor="text" w:hAnchor="text" w:xAlign="center"/>
              <w:spacing w:before="120" w:after="120"/>
              <w:rPr>
                <w:rFonts w:asciiTheme="minorHAnsi" w:hAnsiTheme="minorHAnsi"/>
                <w:color w:val="auto"/>
                <w:sz w:val="20"/>
                <w:szCs w:val="20"/>
                <w:lang w:val="pl-PL" w:eastAsia="pl-PL"/>
              </w:rPr>
            </w:pPr>
          </w:p>
        </w:tc>
        <w:tc>
          <w:tcPr>
            <w:tcW w:w="4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21"/>
              <w:framePr w:wrap="notBeside" w:vAnchor="text" w:hAnchor="text" w:xAlign="center"/>
              <w:shd w:val="clear" w:color="auto" w:fill="auto"/>
              <w:spacing w:before="120" w:after="120" w:line="240" w:lineRule="auto"/>
              <w:ind w:left="1180"/>
              <w:rPr>
                <w:rFonts w:asciiTheme="minorHAnsi" w:hAnsiTheme="minorHAnsi" w:cs="Microsoft Sans Serif"/>
              </w:rPr>
            </w:pPr>
            <w:r w:rsidRPr="00D25E9D">
              <w:rPr>
                <w:rFonts w:asciiTheme="minorHAnsi" w:hAnsiTheme="minorHAnsi"/>
              </w:rPr>
              <w:t>Akcja 1</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21"/>
              <w:framePr w:wrap="notBeside" w:vAnchor="text" w:hAnchor="text" w:xAlign="center"/>
              <w:shd w:val="clear" w:color="auto" w:fill="auto"/>
              <w:spacing w:before="120" w:after="120" w:line="240" w:lineRule="auto"/>
              <w:ind w:left="440"/>
              <w:rPr>
                <w:rFonts w:asciiTheme="minorHAnsi" w:hAnsiTheme="minorHAnsi" w:cs="Microsoft Sans Serif"/>
              </w:rPr>
            </w:pPr>
            <w:r w:rsidRPr="00D25E9D">
              <w:rPr>
                <w:rFonts w:asciiTheme="minorHAnsi" w:hAnsiTheme="minorHAnsi"/>
              </w:rPr>
              <w:t>Akcja 2</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21"/>
              <w:framePr w:wrap="notBeside" w:vAnchor="text" w:hAnchor="text" w:xAlign="center"/>
              <w:shd w:val="clear" w:color="auto" w:fill="auto"/>
              <w:spacing w:before="120" w:after="120" w:line="240" w:lineRule="auto"/>
              <w:ind w:left="500"/>
              <w:rPr>
                <w:rFonts w:asciiTheme="minorHAnsi" w:hAnsiTheme="minorHAnsi" w:cs="Microsoft Sans Serif"/>
              </w:rPr>
            </w:pPr>
            <w:r w:rsidRPr="00D25E9D">
              <w:rPr>
                <w:rFonts w:asciiTheme="minorHAnsi" w:hAnsiTheme="minorHAnsi"/>
              </w:rPr>
              <w:t>Akcja 3</w:t>
            </w:r>
          </w:p>
        </w:tc>
      </w:tr>
      <w:tr w:rsidR="009D008C" w:rsidRPr="002A1F42" w:rsidTr="00D25E9D">
        <w:trPr>
          <w:trHeight w:val="2016"/>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framePr w:wrap="notBeside" w:vAnchor="text" w:hAnchor="text" w:xAlign="center"/>
              <w:spacing w:before="120" w:after="120"/>
              <w:rPr>
                <w:rFonts w:asciiTheme="minorHAnsi" w:hAnsiTheme="minorHAnsi"/>
                <w:color w:val="auto"/>
                <w:sz w:val="20"/>
                <w:szCs w:val="20"/>
                <w:lang w:val="pl-PL" w:eastAsia="pl-PL"/>
              </w:rPr>
            </w:pP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
              <w:framePr w:wrap="notBeside" w:vAnchor="text" w:hAnchor="text" w:xAlign="center"/>
              <w:shd w:val="clear" w:color="auto" w:fill="auto"/>
              <w:spacing w:before="120" w:after="120"/>
              <w:jc w:val="center"/>
              <w:rPr>
                <w:rFonts w:asciiTheme="minorHAnsi" w:hAnsiTheme="minorHAnsi" w:cs="Microsoft Sans Serif"/>
              </w:rPr>
            </w:pPr>
            <w:r w:rsidRPr="00D25E9D">
              <w:rPr>
                <w:rFonts w:ascii="Calibri" w:eastAsia="Calibri" w:hAnsi="Calibri"/>
              </w:rPr>
              <w:t>Akredytacja grupy organizacji (konsorcjum) ubiegających się o dofinansowanie wyjazdów w celach edukacyjnych w sektorze szkolnictwa wyższego</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D25E9D" w:rsidP="00C371FE">
            <w:pPr>
              <w:pStyle w:val="Teksttreci101"/>
              <w:framePr w:wrap="notBeside" w:vAnchor="text" w:hAnchor="text" w:xAlign="center"/>
              <w:shd w:val="clear" w:color="auto" w:fill="auto"/>
              <w:spacing w:before="120" w:after="120" w:line="240" w:lineRule="exact"/>
              <w:ind w:hanging="604"/>
              <w:jc w:val="center"/>
              <w:rPr>
                <w:rFonts w:asciiTheme="minorHAnsi" w:hAnsiTheme="minorHAnsi" w:cs="Microsoft Sans Serif"/>
              </w:rPr>
            </w:pPr>
            <w:r>
              <w:rPr>
                <w:rFonts w:asciiTheme="minorHAnsi" w:hAnsiTheme="minorHAnsi"/>
              </w:rPr>
              <w:t xml:space="preserve">           </w:t>
            </w:r>
            <w:r w:rsidR="009D008C" w:rsidRPr="00D25E9D">
              <w:rPr>
                <w:rFonts w:asciiTheme="minorHAnsi" w:hAnsiTheme="minorHAnsi"/>
              </w:rPr>
              <w:t xml:space="preserve">Projekty mobilności </w:t>
            </w:r>
            <w:r w:rsidR="009D008C" w:rsidRPr="00D25E9D">
              <w:rPr>
                <w:rFonts w:asciiTheme="minorHAnsi" w:hAnsiTheme="minorHAnsi"/>
              </w:rPr>
              <w:br/>
              <w:t xml:space="preserve"> w sektorze edukacji szkolnej, kształcenia i </w:t>
            </w:r>
            <w:proofErr w:type="spellStart"/>
            <w:r w:rsidR="009D008C" w:rsidRPr="00D25E9D">
              <w:rPr>
                <w:rFonts w:asciiTheme="minorHAnsi" w:hAnsiTheme="minorHAnsi"/>
              </w:rPr>
              <w:t>szkolenia</w:t>
            </w:r>
            <w:proofErr w:type="spellEnd"/>
            <w:r w:rsidR="009D008C" w:rsidRPr="00D25E9D">
              <w:rPr>
                <w:rFonts w:asciiTheme="minorHAnsi" w:hAnsiTheme="minorHAnsi"/>
              </w:rPr>
              <w:t xml:space="preserve"> zawodowego edukacji dorosłych i młodzieży</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41"/>
              <w:framePr w:wrap="notBeside" w:vAnchor="text" w:hAnchor="text" w:xAlign="center"/>
              <w:shd w:val="clear" w:color="auto" w:fill="auto"/>
              <w:spacing w:before="120" w:after="120"/>
              <w:ind w:right="480"/>
              <w:jc w:val="center"/>
              <w:rPr>
                <w:rFonts w:asciiTheme="minorHAnsi" w:hAnsiTheme="minorHAnsi" w:cs="Microsoft Sans Serif"/>
              </w:rPr>
            </w:pPr>
            <w:r w:rsidRPr="00D25E9D">
              <w:rPr>
                <w:rFonts w:asciiTheme="minorHAnsi" w:hAnsiTheme="minorHAnsi"/>
              </w:rPr>
              <w:t>Partnerstwa strategiczne w sektorze edukacji, szkoleń i młodzieży</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
              <w:framePr w:wrap="notBeside" w:vAnchor="text" w:hAnchor="text" w:xAlign="center"/>
              <w:shd w:val="clear" w:color="auto" w:fill="auto"/>
              <w:spacing w:before="120" w:after="120"/>
              <w:jc w:val="center"/>
              <w:rPr>
                <w:rFonts w:asciiTheme="minorHAnsi" w:hAnsiTheme="minorHAnsi" w:cs="Microsoft Sans Serif"/>
              </w:rPr>
            </w:pPr>
            <w:r w:rsidRPr="00D25E9D">
              <w:rPr>
                <w:rFonts w:asciiTheme="minorHAnsi" w:hAnsiTheme="minorHAnsi"/>
              </w:rPr>
              <w:t>Dialog usystematyzowany: spotkania młodzieży i  osób odpowiedzialnych za tworzenie polityki</w:t>
            </w:r>
          </w:p>
        </w:tc>
      </w:tr>
      <w:tr w:rsidR="009D008C" w:rsidRPr="000D5EB5" w:rsidTr="00D25E9D">
        <w:trPr>
          <w:trHeight w:val="621"/>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3" w:lineRule="exact"/>
              <w:ind w:left="120"/>
              <w:rPr>
                <w:rFonts w:asciiTheme="minorHAnsi" w:hAnsiTheme="minorHAnsi" w:cs="Microsoft Sans Serif"/>
              </w:rPr>
            </w:pPr>
            <w:r w:rsidRPr="00D25E9D">
              <w:rPr>
                <w:rFonts w:asciiTheme="minorHAnsi" w:hAnsiTheme="minorHAnsi"/>
              </w:rPr>
              <w:t>Zgodność projektu</w:t>
            </w:r>
            <w:r w:rsidRPr="00D25E9D">
              <w:rPr>
                <w:rStyle w:val="Odwoanieprzypisudolnego"/>
                <w:rFonts w:asciiTheme="minorHAnsi" w:hAnsiTheme="minorHAnsi"/>
              </w:rPr>
              <w:footnoteReference w:id="6"/>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640" w:hanging="640"/>
              <w:jc w:val="center"/>
              <w:rPr>
                <w:rFonts w:asciiTheme="minorHAnsi" w:hAnsiTheme="minorHAnsi" w:cs="Microsoft Sans Serif"/>
              </w:rPr>
            </w:pPr>
            <w:r w:rsidRPr="00D25E9D">
              <w:rPr>
                <w:rFonts w:asciiTheme="minorHAnsi" w:hAnsiTheme="minorHAnsi"/>
              </w:rPr>
              <w:t>30</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40"/>
              <w:rPr>
                <w:rFonts w:asciiTheme="minorHAnsi" w:hAnsiTheme="minorHAnsi" w:cs="Microsoft Sans Serif"/>
              </w:rPr>
            </w:pPr>
            <w:r w:rsidRPr="00D25E9D">
              <w:rPr>
                <w:rFonts w:asciiTheme="minorHAnsi" w:hAnsiTheme="minorHAnsi"/>
              </w:rPr>
              <w:t>30</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20"/>
              <w:rPr>
                <w:rFonts w:asciiTheme="minorHAnsi" w:hAnsiTheme="minorHAnsi" w:cs="Microsoft Sans Serif"/>
              </w:rPr>
            </w:pPr>
            <w:r w:rsidRPr="00D25E9D">
              <w:rPr>
                <w:rFonts w:asciiTheme="minorHAnsi" w:hAnsiTheme="minorHAnsi"/>
              </w:rPr>
              <w:t>30</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1040"/>
              <w:rPr>
                <w:rFonts w:asciiTheme="minorHAnsi" w:hAnsiTheme="minorHAnsi" w:cs="Microsoft Sans Serif"/>
              </w:rPr>
            </w:pPr>
            <w:r w:rsidRPr="00D25E9D">
              <w:rPr>
                <w:rFonts w:asciiTheme="minorHAnsi" w:hAnsiTheme="minorHAnsi"/>
              </w:rPr>
              <w:t>30</w:t>
            </w:r>
          </w:p>
        </w:tc>
      </w:tr>
      <w:tr w:rsidR="009D008C" w:rsidRPr="000D5EB5" w:rsidTr="00D25E9D">
        <w:trPr>
          <w:trHeight w:val="1043"/>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exact"/>
              <w:ind w:left="120"/>
              <w:rPr>
                <w:rFonts w:asciiTheme="minorHAnsi" w:hAnsiTheme="minorHAnsi" w:cs="Microsoft Sans Serif"/>
              </w:rPr>
            </w:pPr>
            <w:r w:rsidRPr="00D25E9D">
              <w:rPr>
                <w:rFonts w:asciiTheme="minorHAnsi" w:hAnsiTheme="minorHAnsi"/>
              </w:rPr>
              <w:t xml:space="preserve">Jakość koncepcji </w:t>
            </w:r>
            <w:r w:rsidRPr="00D25E9D">
              <w:rPr>
                <w:rFonts w:asciiTheme="minorHAnsi" w:hAnsiTheme="minorHAnsi"/>
              </w:rPr>
              <w:br/>
              <w:t>projektu i jego realizacji</w:t>
            </w:r>
            <w:r w:rsidRPr="00D25E9D">
              <w:rPr>
                <w:rStyle w:val="Odwoanieprzypisudolnego"/>
                <w:rFonts w:asciiTheme="minorHAnsi" w:hAnsiTheme="minorHAnsi"/>
              </w:rPr>
              <w:footnoteReference w:id="7"/>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640" w:hanging="640"/>
              <w:jc w:val="center"/>
              <w:rPr>
                <w:rFonts w:asciiTheme="minorHAnsi" w:hAnsiTheme="minorHAnsi" w:cs="Microsoft Sans Serif"/>
              </w:rPr>
            </w:pPr>
            <w:r w:rsidRPr="00D25E9D">
              <w:rPr>
                <w:rFonts w:asciiTheme="minorHAnsi" w:hAnsiTheme="minorHAnsi"/>
              </w:rPr>
              <w:t>20</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40"/>
              <w:rPr>
                <w:rFonts w:asciiTheme="minorHAnsi" w:hAnsiTheme="minorHAnsi" w:cs="Microsoft Sans Serif"/>
              </w:rPr>
            </w:pPr>
            <w:r w:rsidRPr="00D25E9D">
              <w:rPr>
                <w:rFonts w:asciiTheme="minorHAnsi" w:hAnsiTheme="minorHAnsi"/>
              </w:rPr>
              <w:t>40</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20"/>
              <w:rPr>
                <w:rFonts w:asciiTheme="minorHAnsi" w:hAnsiTheme="minorHAnsi" w:cs="Microsoft Sans Serif"/>
              </w:rPr>
            </w:pPr>
            <w:r w:rsidRPr="00D25E9D">
              <w:rPr>
                <w:rFonts w:asciiTheme="minorHAnsi" w:hAnsiTheme="minorHAnsi"/>
              </w:rPr>
              <w:t>20</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1040"/>
              <w:rPr>
                <w:rFonts w:asciiTheme="minorHAnsi" w:hAnsiTheme="minorHAnsi" w:cs="Microsoft Sans Serif"/>
              </w:rPr>
            </w:pPr>
            <w:r w:rsidRPr="00D25E9D">
              <w:rPr>
                <w:rFonts w:asciiTheme="minorHAnsi" w:hAnsiTheme="minorHAnsi"/>
              </w:rPr>
              <w:t>40</w:t>
            </w:r>
          </w:p>
        </w:tc>
      </w:tr>
      <w:tr w:rsidR="009D008C" w:rsidRPr="000D5EB5" w:rsidTr="00D25E9D">
        <w:trPr>
          <w:trHeight w:val="1286"/>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3" w:lineRule="exact"/>
              <w:ind w:left="120"/>
              <w:rPr>
                <w:rFonts w:asciiTheme="minorHAnsi" w:hAnsiTheme="minorHAnsi" w:cs="Microsoft Sans Serif"/>
              </w:rPr>
            </w:pPr>
            <w:r w:rsidRPr="00D25E9D">
              <w:rPr>
                <w:rFonts w:asciiTheme="minorHAnsi" w:hAnsiTheme="minorHAnsi"/>
              </w:rPr>
              <w:t>Jakość partnerstwa i metod współpracy</w:t>
            </w:r>
            <w:r w:rsidRPr="00D25E9D">
              <w:rPr>
                <w:rStyle w:val="Odwoanieprzypisudolnego"/>
                <w:rFonts w:asciiTheme="minorHAnsi" w:hAnsiTheme="minorHAnsi"/>
              </w:rPr>
              <w:footnoteReference w:id="8"/>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640" w:hanging="640"/>
              <w:jc w:val="center"/>
              <w:rPr>
                <w:rFonts w:asciiTheme="minorHAnsi" w:hAnsiTheme="minorHAnsi" w:cs="Microsoft Sans Serif"/>
              </w:rPr>
            </w:pPr>
            <w:r w:rsidRPr="00D25E9D">
              <w:rPr>
                <w:rFonts w:asciiTheme="minorHAnsi" w:hAnsiTheme="minorHAnsi"/>
              </w:rPr>
              <w:t>20</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40" w:hanging="940"/>
              <w:jc w:val="center"/>
              <w:rPr>
                <w:rFonts w:asciiTheme="minorHAnsi" w:hAnsiTheme="minorHAnsi" w:cs="Microsoft Sans Serif"/>
              </w:rPr>
            </w:pPr>
            <w:r w:rsidRPr="00D25E9D">
              <w:rPr>
                <w:rFonts w:asciiTheme="minorHAnsi" w:hAnsiTheme="minorHAnsi"/>
              </w:rPr>
              <w:t>Nie dotyczy</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20"/>
              <w:rPr>
                <w:rFonts w:asciiTheme="minorHAnsi" w:hAnsiTheme="minorHAnsi" w:cs="Microsoft Sans Serif"/>
              </w:rPr>
            </w:pPr>
            <w:r w:rsidRPr="00D25E9D">
              <w:rPr>
                <w:rFonts w:asciiTheme="minorHAnsi" w:hAnsiTheme="minorHAnsi"/>
              </w:rPr>
              <w:t>20</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1040" w:hanging="1040"/>
              <w:jc w:val="center"/>
              <w:rPr>
                <w:rFonts w:asciiTheme="minorHAnsi" w:hAnsiTheme="minorHAnsi" w:cs="Microsoft Sans Serif"/>
              </w:rPr>
            </w:pPr>
            <w:r w:rsidRPr="00D25E9D">
              <w:rPr>
                <w:rFonts w:asciiTheme="minorHAnsi" w:hAnsiTheme="minorHAnsi"/>
              </w:rPr>
              <w:t>Nie dotyczy</w:t>
            </w:r>
          </w:p>
        </w:tc>
      </w:tr>
      <w:tr w:rsidR="009D008C" w:rsidRPr="000D5EB5" w:rsidTr="00D25E9D">
        <w:trPr>
          <w:trHeight w:val="557"/>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6" w:lineRule="exact"/>
              <w:ind w:left="120"/>
              <w:rPr>
                <w:rFonts w:asciiTheme="minorHAnsi" w:hAnsiTheme="minorHAnsi" w:cs="Microsoft Sans Serif"/>
              </w:rPr>
            </w:pPr>
            <w:r w:rsidRPr="00D25E9D">
              <w:rPr>
                <w:rFonts w:asciiTheme="minorHAnsi" w:hAnsiTheme="minorHAnsi"/>
              </w:rPr>
              <w:t>Wpływ i upowszechnianie</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640" w:hanging="640"/>
              <w:jc w:val="center"/>
              <w:rPr>
                <w:rFonts w:asciiTheme="minorHAnsi" w:hAnsiTheme="minorHAnsi" w:cs="Microsoft Sans Serif"/>
              </w:rPr>
            </w:pPr>
            <w:r w:rsidRPr="00D25E9D">
              <w:rPr>
                <w:rFonts w:asciiTheme="minorHAnsi" w:hAnsiTheme="minorHAnsi"/>
              </w:rPr>
              <w:t>30</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40"/>
              <w:rPr>
                <w:rFonts w:asciiTheme="minorHAnsi" w:hAnsiTheme="minorHAnsi" w:cs="Microsoft Sans Serif"/>
              </w:rPr>
            </w:pPr>
            <w:r w:rsidRPr="00D25E9D">
              <w:rPr>
                <w:rFonts w:asciiTheme="minorHAnsi" w:hAnsiTheme="minorHAnsi"/>
              </w:rPr>
              <w:t>30</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20"/>
              <w:rPr>
                <w:rFonts w:asciiTheme="minorHAnsi" w:hAnsiTheme="minorHAnsi" w:cs="Microsoft Sans Serif"/>
              </w:rPr>
            </w:pPr>
            <w:r w:rsidRPr="00D25E9D">
              <w:rPr>
                <w:rFonts w:asciiTheme="minorHAnsi" w:hAnsiTheme="minorHAnsi"/>
              </w:rPr>
              <w:t>30</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1040"/>
              <w:rPr>
                <w:rFonts w:asciiTheme="minorHAnsi" w:hAnsiTheme="minorHAnsi" w:cs="Microsoft Sans Serif"/>
              </w:rPr>
            </w:pPr>
            <w:r w:rsidRPr="00D25E9D">
              <w:rPr>
                <w:rFonts w:asciiTheme="minorHAnsi" w:hAnsiTheme="minorHAnsi"/>
              </w:rPr>
              <w:t>30</w:t>
            </w:r>
          </w:p>
        </w:tc>
      </w:tr>
      <w:tr w:rsidR="009D008C" w:rsidRPr="000D5EB5" w:rsidTr="00D25E9D">
        <w:trPr>
          <w:trHeight w:val="320"/>
          <w:jc w:val="center"/>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121"/>
              <w:framePr w:wrap="notBeside" w:vAnchor="text" w:hAnchor="text" w:xAlign="center"/>
              <w:shd w:val="clear" w:color="auto" w:fill="auto"/>
              <w:spacing w:before="120" w:after="120" w:line="240" w:lineRule="auto"/>
              <w:ind w:left="120"/>
              <w:rPr>
                <w:rFonts w:asciiTheme="minorHAnsi" w:hAnsiTheme="minorHAnsi" w:cs="Microsoft Sans Serif"/>
              </w:rPr>
            </w:pPr>
            <w:r w:rsidRPr="00D25E9D">
              <w:rPr>
                <w:rFonts w:asciiTheme="minorHAnsi" w:hAnsiTheme="minorHAnsi"/>
              </w:rPr>
              <w:t>RAZEM</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640" w:hanging="640"/>
              <w:jc w:val="center"/>
              <w:rPr>
                <w:rFonts w:asciiTheme="minorHAnsi" w:hAnsiTheme="minorHAnsi" w:cs="Microsoft Sans Serif"/>
              </w:rPr>
            </w:pPr>
            <w:r w:rsidRPr="00D25E9D">
              <w:rPr>
                <w:rFonts w:asciiTheme="minorHAnsi" w:hAnsiTheme="minorHAnsi"/>
              </w:rPr>
              <w:t>100</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40"/>
              <w:rPr>
                <w:rFonts w:asciiTheme="minorHAnsi" w:hAnsiTheme="minorHAnsi" w:cs="Microsoft Sans Serif"/>
              </w:rPr>
            </w:pPr>
            <w:r w:rsidRPr="00D25E9D">
              <w:rPr>
                <w:rFonts w:asciiTheme="minorHAnsi" w:hAnsiTheme="minorHAnsi"/>
              </w:rPr>
              <w:t>100</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920"/>
              <w:rPr>
                <w:rFonts w:asciiTheme="minorHAnsi" w:hAnsiTheme="minorHAnsi" w:cs="Microsoft Sans Serif"/>
              </w:rPr>
            </w:pPr>
            <w:r w:rsidRPr="00D25E9D">
              <w:rPr>
                <w:rFonts w:asciiTheme="minorHAnsi" w:hAnsiTheme="minorHAnsi"/>
              </w:rPr>
              <w:t>100</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D25E9D" w:rsidRDefault="009D008C" w:rsidP="00C371FE">
            <w:pPr>
              <w:pStyle w:val="Teksttreci51"/>
              <w:framePr w:wrap="notBeside" w:vAnchor="text" w:hAnchor="text" w:xAlign="center"/>
              <w:shd w:val="clear" w:color="auto" w:fill="auto"/>
              <w:spacing w:before="120" w:after="120" w:line="240" w:lineRule="auto"/>
              <w:ind w:left="1040"/>
              <w:rPr>
                <w:rFonts w:asciiTheme="minorHAnsi" w:hAnsiTheme="minorHAnsi" w:cs="Microsoft Sans Serif"/>
              </w:rPr>
            </w:pPr>
            <w:r w:rsidRPr="00D25E9D">
              <w:rPr>
                <w:rFonts w:asciiTheme="minorHAnsi" w:hAnsiTheme="minorHAnsi"/>
              </w:rPr>
              <w:t>100</w:t>
            </w:r>
          </w:p>
        </w:tc>
      </w:tr>
    </w:tbl>
    <w:p w:rsidR="009D008C" w:rsidRPr="000D5EB5" w:rsidRDefault="009D008C" w:rsidP="00C371FE">
      <w:pPr>
        <w:spacing w:before="120" w:after="120"/>
        <w:rPr>
          <w:rFonts w:asciiTheme="minorHAnsi" w:hAnsiTheme="minorHAnsi"/>
          <w:color w:val="auto"/>
          <w:sz w:val="22"/>
          <w:szCs w:val="22"/>
          <w:lang w:val="pl-PL" w:eastAsia="pl-PL"/>
        </w:rPr>
      </w:pPr>
    </w:p>
    <w:p w:rsidR="009D008C" w:rsidRPr="000D5EB5" w:rsidRDefault="009D008C" w:rsidP="00C371FE">
      <w:pPr>
        <w:pStyle w:val="Teksttreci1"/>
        <w:spacing w:before="120" w:after="120"/>
        <w:ind w:left="426" w:right="582"/>
        <w:rPr>
          <w:rFonts w:asciiTheme="minorHAnsi" w:hAnsiTheme="minorHAnsi" w:cs="Microsoft Sans Serif"/>
          <w:sz w:val="22"/>
          <w:szCs w:val="22"/>
        </w:rPr>
      </w:pPr>
      <w:r w:rsidRPr="000D5EB5">
        <w:rPr>
          <w:rFonts w:asciiTheme="minorHAnsi" w:hAnsiTheme="minorHAnsi"/>
          <w:sz w:val="22"/>
          <w:szCs w:val="22"/>
        </w:rPr>
        <w:t>Powyższa maksymalna punktacja za spełnianie kryteriów oceny ma zastosowanie do wszystkich wniosków zło</w:t>
      </w:r>
      <w:r w:rsidR="00D25E9D">
        <w:rPr>
          <w:rFonts w:asciiTheme="minorHAnsi" w:hAnsiTheme="minorHAnsi"/>
          <w:sz w:val="22"/>
          <w:szCs w:val="22"/>
        </w:rPr>
        <w:t>żonych w ramach danej akcji</w:t>
      </w:r>
      <w:r w:rsidRPr="000D5EB5">
        <w:rPr>
          <w:rFonts w:asciiTheme="minorHAnsi" w:hAnsiTheme="minorHAnsi"/>
          <w:sz w:val="22"/>
          <w:szCs w:val="22"/>
        </w:rPr>
        <w:t>, bez względu na sektor eduk</w:t>
      </w:r>
      <w:r w:rsidR="00D25E9D">
        <w:rPr>
          <w:rFonts w:asciiTheme="minorHAnsi" w:hAnsiTheme="minorHAnsi"/>
          <w:sz w:val="22"/>
          <w:szCs w:val="22"/>
        </w:rPr>
        <w:t>acji, szkoleń lub młodzieży czy</w:t>
      </w:r>
      <w:r w:rsidRPr="000D5EB5">
        <w:rPr>
          <w:rFonts w:asciiTheme="minorHAnsi" w:hAnsiTheme="minorHAnsi"/>
          <w:sz w:val="22"/>
          <w:szCs w:val="22"/>
        </w:rPr>
        <w:t xml:space="preserve"> kraj, w którym złożono wniosek.</w:t>
      </w:r>
    </w:p>
    <w:p w:rsidR="009D008C" w:rsidRPr="000D5EB5" w:rsidRDefault="00673717" w:rsidP="00C371FE">
      <w:pPr>
        <w:pStyle w:val="Teksttreci1"/>
        <w:spacing w:before="120" w:after="120"/>
        <w:ind w:left="426" w:right="580"/>
        <w:rPr>
          <w:rFonts w:asciiTheme="minorHAnsi" w:hAnsiTheme="minorHAnsi" w:cs="Microsoft Sans Serif"/>
          <w:sz w:val="22"/>
          <w:szCs w:val="22"/>
        </w:rPr>
      </w:pPr>
      <w:r>
        <w:rPr>
          <w:rFonts w:asciiTheme="minorHAnsi" w:hAnsiTheme="minorHAnsi"/>
          <w:sz w:val="22"/>
          <w:szCs w:val="22"/>
        </w:rPr>
        <w:t>J</w:t>
      </w:r>
      <w:r w:rsidRPr="000D5EB5">
        <w:rPr>
          <w:rFonts w:asciiTheme="minorHAnsi" w:hAnsiTheme="minorHAnsi"/>
          <w:sz w:val="22"/>
          <w:szCs w:val="22"/>
        </w:rPr>
        <w:t>ak wyszczególniono w tabeli powyżej</w:t>
      </w:r>
      <w:r>
        <w:rPr>
          <w:rFonts w:asciiTheme="minorHAnsi" w:hAnsiTheme="minorHAnsi"/>
          <w:sz w:val="22"/>
          <w:szCs w:val="22"/>
        </w:rPr>
        <w:t>,</w:t>
      </w:r>
      <w:r w:rsidRPr="000D5EB5">
        <w:rPr>
          <w:rFonts w:asciiTheme="minorHAnsi" w:hAnsiTheme="minorHAnsi"/>
          <w:sz w:val="22"/>
          <w:szCs w:val="22"/>
        </w:rPr>
        <w:t xml:space="preserve"> </w:t>
      </w:r>
      <w:r>
        <w:rPr>
          <w:rFonts w:asciiTheme="minorHAnsi" w:hAnsiTheme="minorHAnsi"/>
          <w:sz w:val="22"/>
          <w:szCs w:val="22"/>
        </w:rPr>
        <w:t>e</w:t>
      </w:r>
      <w:r w:rsidR="009D008C" w:rsidRPr="000D5EB5">
        <w:rPr>
          <w:rFonts w:asciiTheme="minorHAnsi" w:hAnsiTheme="minorHAnsi"/>
          <w:sz w:val="22"/>
          <w:szCs w:val="22"/>
        </w:rPr>
        <w:t>ksperci oceniają wnioski na podstawie kryteriów oceny i przyznają za spełnienie każdego kryterium maksymalnie 20, 30 lub 40 punk</w:t>
      </w:r>
      <w:r>
        <w:rPr>
          <w:rFonts w:asciiTheme="minorHAnsi" w:hAnsiTheme="minorHAnsi"/>
          <w:sz w:val="22"/>
          <w:szCs w:val="22"/>
        </w:rPr>
        <w:t>t</w:t>
      </w:r>
      <w:r w:rsidR="009D008C" w:rsidRPr="000D5EB5">
        <w:rPr>
          <w:rFonts w:asciiTheme="minorHAnsi" w:hAnsiTheme="minorHAnsi"/>
          <w:sz w:val="22"/>
          <w:szCs w:val="22"/>
        </w:rPr>
        <w:t>ów. Łączna liczba punktów przyznanych danemu wnioskowi jest obliczana automatycznie przez OEET i stanowi sumę ocen przyznanych za spełnienie każdego kryterium oceny. Eksperci mogą przyznawać wyłącznie pełne punkty, bez połówek lub części dziesiętnych.</w:t>
      </w:r>
    </w:p>
    <w:p w:rsidR="009D008C" w:rsidRPr="000D5EB5" w:rsidRDefault="009D008C" w:rsidP="00C371FE">
      <w:pPr>
        <w:pStyle w:val="Teksttreci1"/>
        <w:spacing w:before="120" w:after="120" w:line="240" w:lineRule="exact"/>
        <w:ind w:left="426" w:right="580"/>
        <w:rPr>
          <w:rFonts w:asciiTheme="minorHAnsi" w:hAnsiTheme="minorHAnsi" w:cs="Microsoft Sans Serif"/>
          <w:sz w:val="22"/>
          <w:szCs w:val="22"/>
        </w:rPr>
        <w:sectPr w:rsidR="009D008C" w:rsidRPr="000D5EB5">
          <w:type w:val="continuous"/>
          <w:pgSz w:w="11905" w:h="16837"/>
          <w:pgMar w:top="651" w:right="839" w:bottom="1435" w:left="986" w:header="648" w:footer="1435" w:gutter="0"/>
          <w:cols w:space="708"/>
          <w:noEndnote/>
          <w:docGrid w:linePitch="360"/>
        </w:sectPr>
      </w:pPr>
      <w:r w:rsidRPr="000D5EB5">
        <w:rPr>
          <w:rFonts w:asciiTheme="minorHAnsi" w:hAnsiTheme="minorHAnsi"/>
          <w:sz w:val="22"/>
          <w:szCs w:val="22"/>
        </w:rPr>
        <w:t xml:space="preserve">Aby zapewnić spójne podejście do oceny przez wszystkich ekspertów we wszystkich krajach, </w:t>
      </w:r>
      <w:r w:rsidR="00673717" w:rsidRPr="000D5EB5">
        <w:rPr>
          <w:rFonts w:asciiTheme="minorHAnsi" w:hAnsiTheme="minorHAnsi"/>
          <w:sz w:val="22"/>
          <w:szCs w:val="22"/>
        </w:rPr>
        <w:t>została ustalona skala ocen</w:t>
      </w:r>
      <w:r w:rsidR="00673717">
        <w:rPr>
          <w:rFonts w:asciiTheme="minorHAnsi" w:hAnsiTheme="minorHAnsi"/>
          <w:sz w:val="22"/>
          <w:szCs w:val="22"/>
        </w:rPr>
        <w:t xml:space="preserve"> odpowiadająca</w:t>
      </w:r>
      <w:r w:rsidR="00673717" w:rsidRPr="000D5EB5">
        <w:rPr>
          <w:rFonts w:asciiTheme="minorHAnsi" w:hAnsiTheme="minorHAnsi"/>
          <w:sz w:val="22"/>
          <w:szCs w:val="22"/>
        </w:rPr>
        <w:t xml:space="preserve"> </w:t>
      </w:r>
      <w:r w:rsidR="00673717">
        <w:rPr>
          <w:rFonts w:asciiTheme="minorHAnsi" w:hAnsiTheme="minorHAnsi"/>
          <w:sz w:val="22"/>
          <w:szCs w:val="22"/>
        </w:rPr>
        <w:t>zakresowi</w:t>
      </w:r>
      <w:r w:rsidRPr="000D5EB5">
        <w:rPr>
          <w:rFonts w:asciiTheme="minorHAnsi" w:hAnsiTheme="minorHAnsi"/>
          <w:sz w:val="22"/>
          <w:szCs w:val="22"/>
        </w:rPr>
        <w:t xml:space="preserve"> punktów przyznawanych za </w:t>
      </w:r>
      <w:r w:rsidR="005943E2">
        <w:rPr>
          <w:rFonts w:asciiTheme="minorHAnsi" w:hAnsiTheme="minorHAnsi"/>
          <w:sz w:val="22"/>
          <w:szCs w:val="22"/>
        </w:rPr>
        <w:t xml:space="preserve">spełnienie </w:t>
      </w:r>
      <w:r w:rsidRPr="000D5EB5">
        <w:rPr>
          <w:rFonts w:asciiTheme="minorHAnsi" w:hAnsiTheme="minorHAnsi"/>
          <w:sz w:val="22"/>
          <w:szCs w:val="22"/>
        </w:rPr>
        <w:t>dane</w:t>
      </w:r>
      <w:r w:rsidR="005943E2">
        <w:rPr>
          <w:rFonts w:asciiTheme="minorHAnsi" w:hAnsiTheme="minorHAnsi"/>
          <w:sz w:val="22"/>
          <w:szCs w:val="22"/>
        </w:rPr>
        <w:t>go</w:t>
      </w:r>
      <w:r w:rsidRPr="000D5EB5">
        <w:rPr>
          <w:rFonts w:asciiTheme="minorHAnsi" w:hAnsiTheme="minorHAnsi"/>
          <w:sz w:val="22"/>
          <w:szCs w:val="22"/>
        </w:rPr>
        <w:t xml:space="preserve"> kryterium:</w:t>
      </w:r>
    </w:p>
    <w:p w:rsidR="009D008C" w:rsidRPr="000D5EB5" w:rsidRDefault="005943E2" w:rsidP="00C371FE">
      <w:pPr>
        <w:pStyle w:val="Teksttreci101"/>
        <w:numPr>
          <w:ilvl w:val="0"/>
          <w:numId w:val="3"/>
        </w:numPr>
        <w:tabs>
          <w:tab w:val="left" w:pos="1189"/>
        </w:tabs>
        <w:spacing w:before="120" w:after="120"/>
        <w:ind w:right="40"/>
        <w:rPr>
          <w:rFonts w:asciiTheme="minorHAnsi" w:hAnsiTheme="minorHAnsi"/>
          <w:sz w:val="22"/>
          <w:szCs w:val="22"/>
        </w:rPr>
      </w:pPr>
      <w:r>
        <w:rPr>
          <w:rFonts w:asciiTheme="minorHAnsi" w:hAnsiTheme="minorHAnsi"/>
          <w:sz w:val="22"/>
          <w:szCs w:val="22"/>
        </w:rPr>
        <w:lastRenderedPageBreak/>
        <w:t>B</w:t>
      </w:r>
      <w:r w:rsidR="009D008C" w:rsidRPr="000D5EB5">
        <w:rPr>
          <w:rFonts w:asciiTheme="minorHAnsi" w:hAnsiTheme="minorHAnsi"/>
          <w:sz w:val="22"/>
          <w:szCs w:val="22"/>
        </w:rPr>
        <w:t xml:space="preserve">ardzo dobry - wniosek w przekonywający i wyczerpujący sposób spełnia wszystkie aspekty danego kryterium. </w:t>
      </w:r>
      <w:r>
        <w:rPr>
          <w:rFonts w:asciiTheme="minorHAnsi" w:hAnsiTheme="minorHAnsi"/>
          <w:sz w:val="22"/>
          <w:szCs w:val="22"/>
        </w:rPr>
        <w:t>Wnioskodawca przedstawił</w:t>
      </w:r>
      <w:r w:rsidR="009D008C" w:rsidRPr="000D5EB5">
        <w:rPr>
          <w:rFonts w:asciiTheme="minorHAnsi" w:hAnsiTheme="minorHAnsi"/>
          <w:sz w:val="22"/>
          <w:szCs w:val="22"/>
        </w:rPr>
        <w:t xml:space="preserve"> wszystkie wymagane inform</w:t>
      </w:r>
      <w:r>
        <w:rPr>
          <w:rFonts w:asciiTheme="minorHAnsi" w:hAnsiTheme="minorHAnsi"/>
          <w:sz w:val="22"/>
          <w:szCs w:val="22"/>
        </w:rPr>
        <w:t xml:space="preserve">acje i dowody; brak </w:t>
      </w:r>
      <w:r w:rsidR="009D008C" w:rsidRPr="000D5EB5">
        <w:rPr>
          <w:rFonts w:asciiTheme="minorHAnsi" w:hAnsiTheme="minorHAnsi"/>
          <w:sz w:val="22"/>
          <w:szCs w:val="22"/>
        </w:rPr>
        <w:t>wątpliwości lub słab</w:t>
      </w:r>
      <w:r>
        <w:rPr>
          <w:rFonts w:asciiTheme="minorHAnsi" w:hAnsiTheme="minorHAnsi"/>
          <w:sz w:val="22"/>
          <w:szCs w:val="22"/>
        </w:rPr>
        <w:t>ych obszarów</w:t>
      </w:r>
      <w:r w:rsidR="009D008C" w:rsidRPr="000D5EB5">
        <w:rPr>
          <w:rFonts w:asciiTheme="minorHAnsi" w:hAnsiTheme="minorHAnsi"/>
          <w:sz w:val="22"/>
          <w:szCs w:val="22"/>
        </w:rPr>
        <w:t>.</w:t>
      </w:r>
    </w:p>
    <w:p w:rsidR="009D008C" w:rsidRPr="000D5EB5" w:rsidRDefault="005943E2" w:rsidP="00C371FE">
      <w:pPr>
        <w:pStyle w:val="Teksttreci101"/>
        <w:numPr>
          <w:ilvl w:val="0"/>
          <w:numId w:val="3"/>
        </w:numPr>
        <w:tabs>
          <w:tab w:val="left" w:pos="1189"/>
        </w:tabs>
        <w:spacing w:before="120" w:after="120"/>
        <w:ind w:right="40"/>
        <w:rPr>
          <w:rFonts w:asciiTheme="minorHAnsi" w:hAnsiTheme="minorHAnsi"/>
          <w:sz w:val="22"/>
          <w:szCs w:val="22"/>
        </w:rPr>
      </w:pPr>
      <w:r>
        <w:rPr>
          <w:rFonts w:asciiTheme="minorHAnsi" w:hAnsiTheme="minorHAnsi"/>
          <w:sz w:val="22"/>
          <w:szCs w:val="22"/>
        </w:rPr>
        <w:t>D</w:t>
      </w:r>
      <w:r w:rsidR="009D008C" w:rsidRPr="000D5EB5">
        <w:rPr>
          <w:rFonts w:asciiTheme="minorHAnsi" w:hAnsiTheme="minorHAnsi"/>
          <w:sz w:val="22"/>
          <w:szCs w:val="22"/>
        </w:rPr>
        <w:t xml:space="preserve">obry - wniosek dobrze spełnia kryterium, jednak jest jeszcze miejsce na pewne ulepszenia. </w:t>
      </w:r>
      <w:r>
        <w:rPr>
          <w:rFonts w:asciiTheme="minorHAnsi" w:hAnsiTheme="minorHAnsi"/>
          <w:sz w:val="22"/>
          <w:szCs w:val="22"/>
        </w:rPr>
        <w:t xml:space="preserve">Wnioskodawca </w:t>
      </w:r>
      <w:r w:rsidRPr="000D5EB5">
        <w:rPr>
          <w:rFonts w:asciiTheme="minorHAnsi" w:hAnsiTheme="minorHAnsi"/>
          <w:sz w:val="22"/>
          <w:szCs w:val="22"/>
        </w:rPr>
        <w:t>jednoznaczn</w:t>
      </w:r>
      <w:r>
        <w:rPr>
          <w:rFonts w:asciiTheme="minorHAnsi" w:hAnsiTheme="minorHAnsi"/>
          <w:sz w:val="22"/>
          <w:szCs w:val="22"/>
        </w:rPr>
        <w:t>i</w:t>
      </w:r>
      <w:r w:rsidRPr="000D5EB5">
        <w:rPr>
          <w:rFonts w:asciiTheme="minorHAnsi" w:hAnsiTheme="minorHAnsi"/>
          <w:sz w:val="22"/>
          <w:szCs w:val="22"/>
        </w:rPr>
        <w:t>e</w:t>
      </w:r>
      <w:r>
        <w:rPr>
          <w:rFonts w:asciiTheme="minorHAnsi" w:hAnsiTheme="minorHAnsi"/>
          <w:sz w:val="22"/>
          <w:szCs w:val="22"/>
        </w:rPr>
        <w:t xml:space="preserve"> przedstawił</w:t>
      </w:r>
      <w:r w:rsidR="009D008C" w:rsidRPr="000D5EB5">
        <w:rPr>
          <w:rFonts w:asciiTheme="minorHAnsi" w:hAnsiTheme="minorHAnsi"/>
          <w:sz w:val="22"/>
          <w:szCs w:val="22"/>
        </w:rPr>
        <w:t xml:space="preserve"> </w:t>
      </w:r>
      <w:r>
        <w:rPr>
          <w:rFonts w:asciiTheme="minorHAnsi" w:hAnsiTheme="minorHAnsi"/>
          <w:sz w:val="22"/>
          <w:szCs w:val="22"/>
        </w:rPr>
        <w:t xml:space="preserve">wszystkie </w:t>
      </w:r>
      <w:r w:rsidRPr="000D5EB5">
        <w:rPr>
          <w:rFonts w:asciiTheme="minorHAnsi" w:hAnsiTheme="minorHAnsi"/>
          <w:sz w:val="22"/>
          <w:szCs w:val="22"/>
        </w:rPr>
        <w:t xml:space="preserve">lub niemal </w:t>
      </w:r>
      <w:r>
        <w:rPr>
          <w:rFonts w:asciiTheme="minorHAnsi" w:hAnsiTheme="minorHAnsi"/>
          <w:sz w:val="22"/>
          <w:szCs w:val="22"/>
        </w:rPr>
        <w:t>wszystkie wymagane informacje</w:t>
      </w:r>
      <w:r w:rsidR="009D008C" w:rsidRPr="000D5EB5">
        <w:rPr>
          <w:rFonts w:asciiTheme="minorHAnsi" w:hAnsiTheme="minorHAnsi"/>
          <w:sz w:val="22"/>
          <w:szCs w:val="22"/>
        </w:rPr>
        <w:t>.</w:t>
      </w:r>
    </w:p>
    <w:p w:rsidR="009D008C" w:rsidRPr="000D5EB5" w:rsidRDefault="005943E2" w:rsidP="00C371FE">
      <w:pPr>
        <w:pStyle w:val="Teksttreci101"/>
        <w:numPr>
          <w:ilvl w:val="0"/>
          <w:numId w:val="3"/>
        </w:numPr>
        <w:tabs>
          <w:tab w:val="left" w:pos="1189"/>
        </w:tabs>
        <w:spacing w:before="120" w:after="120"/>
        <w:ind w:right="40"/>
        <w:rPr>
          <w:rFonts w:asciiTheme="minorHAnsi" w:hAnsiTheme="minorHAnsi"/>
          <w:sz w:val="22"/>
          <w:szCs w:val="22"/>
        </w:rPr>
      </w:pPr>
      <w:r>
        <w:rPr>
          <w:rFonts w:asciiTheme="minorHAnsi" w:hAnsiTheme="minorHAnsi"/>
          <w:sz w:val="22"/>
          <w:szCs w:val="22"/>
        </w:rPr>
        <w:t>D</w:t>
      </w:r>
      <w:r w:rsidR="009D008C" w:rsidRPr="000D5EB5">
        <w:rPr>
          <w:rFonts w:asciiTheme="minorHAnsi" w:hAnsiTheme="minorHAnsi"/>
          <w:sz w:val="22"/>
          <w:szCs w:val="22"/>
        </w:rPr>
        <w:t xml:space="preserve">ostateczny - wniosek w znacznym zakresie spełnia kryterium, jednak ma pewne słabe punkty. </w:t>
      </w:r>
      <w:r>
        <w:rPr>
          <w:rFonts w:asciiTheme="minorHAnsi" w:hAnsiTheme="minorHAnsi"/>
          <w:sz w:val="22"/>
          <w:szCs w:val="22"/>
        </w:rPr>
        <w:t>Wnioskodawca</w:t>
      </w:r>
      <w:r w:rsidR="009D008C" w:rsidRPr="000D5EB5">
        <w:rPr>
          <w:rFonts w:asciiTheme="minorHAnsi" w:hAnsiTheme="minorHAnsi"/>
          <w:sz w:val="22"/>
          <w:szCs w:val="22"/>
        </w:rPr>
        <w:t xml:space="preserve"> przedstawi</w:t>
      </w:r>
      <w:r>
        <w:rPr>
          <w:rFonts w:asciiTheme="minorHAnsi" w:hAnsiTheme="minorHAnsi"/>
          <w:sz w:val="22"/>
          <w:szCs w:val="22"/>
        </w:rPr>
        <w:t>ł</w:t>
      </w:r>
      <w:r w:rsidR="009D008C" w:rsidRPr="000D5EB5">
        <w:rPr>
          <w:rFonts w:asciiTheme="minorHAnsi" w:hAnsiTheme="minorHAnsi"/>
          <w:sz w:val="22"/>
          <w:szCs w:val="22"/>
        </w:rPr>
        <w:t xml:space="preserve"> pewne wymagane informacje, jednak w wielu obszarach brakuje szczegółowych informacji lub przedstawione informacje są niejasne.</w:t>
      </w:r>
    </w:p>
    <w:p w:rsidR="009D008C" w:rsidRPr="000D5EB5" w:rsidRDefault="005943E2" w:rsidP="00C371FE">
      <w:pPr>
        <w:pStyle w:val="Teksttreci101"/>
        <w:numPr>
          <w:ilvl w:val="0"/>
          <w:numId w:val="3"/>
        </w:numPr>
        <w:tabs>
          <w:tab w:val="left" w:pos="1189"/>
        </w:tabs>
        <w:spacing w:before="120" w:after="120" w:line="240" w:lineRule="exact"/>
        <w:ind w:right="40"/>
        <w:rPr>
          <w:rFonts w:asciiTheme="minorHAnsi" w:hAnsiTheme="minorHAnsi"/>
          <w:sz w:val="22"/>
          <w:szCs w:val="22"/>
        </w:rPr>
      </w:pPr>
      <w:r>
        <w:rPr>
          <w:rFonts w:asciiTheme="minorHAnsi" w:hAnsiTheme="minorHAnsi"/>
          <w:sz w:val="22"/>
          <w:szCs w:val="22"/>
        </w:rPr>
        <w:t>S</w:t>
      </w:r>
      <w:r w:rsidR="009D008C" w:rsidRPr="000D5EB5">
        <w:rPr>
          <w:rFonts w:asciiTheme="minorHAnsi" w:hAnsiTheme="minorHAnsi"/>
          <w:sz w:val="22"/>
          <w:szCs w:val="22"/>
        </w:rPr>
        <w:t>łaby - wniose</w:t>
      </w:r>
      <w:r w:rsidR="00C6612C">
        <w:rPr>
          <w:rFonts w:asciiTheme="minorHAnsi" w:hAnsiTheme="minorHAnsi"/>
          <w:sz w:val="22"/>
          <w:szCs w:val="22"/>
        </w:rPr>
        <w:t xml:space="preserve">k nie spełnia kryterium, brakuje informacji lub są one niekompletne. </w:t>
      </w:r>
      <w:r>
        <w:rPr>
          <w:rFonts w:asciiTheme="minorHAnsi" w:hAnsiTheme="minorHAnsi"/>
          <w:sz w:val="22"/>
          <w:szCs w:val="22"/>
        </w:rPr>
        <w:t xml:space="preserve"> Wnioskodawca nie przedstawił</w:t>
      </w:r>
      <w:r w:rsidR="009D008C" w:rsidRPr="000D5EB5">
        <w:rPr>
          <w:rFonts w:asciiTheme="minorHAnsi" w:hAnsiTheme="minorHAnsi"/>
          <w:sz w:val="22"/>
          <w:szCs w:val="22"/>
        </w:rPr>
        <w:t xml:space="preserve"> wymaganych </w:t>
      </w:r>
      <w:r>
        <w:rPr>
          <w:rFonts w:asciiTheme="minorHAnsi" w:hAnsiTheme="minorHAnsi"/>
          <w:sz w:val="22"/>
          <w:szCs w:val="22"/>
        </w:rPr>
        <w:t>informacji lub przedstawił ich bardzo mało</w:t>
      </w:r>
      <w:r w:rsidR="009D008C" w:rsidRPr="000D5EB5">
        <w:rPr>
          <w:rFonts w:asciiTheme="minorHAnsi" w:hAnsiTheme="minorHAnsi"/>
          <w:sz w:val="22"/>
          <w:szCs w:val="22"/>
        </w:rPr>
        <w:t>.</w:t>
      </w:r>
    </w:p>
    <w:p w:rsidR="009D008C" w:rsidRPr="000D5EB5" w:rsidRDefault="009D008C" w:rsidP="00C371FE">
      <w:pPr>
        <w:pStyle w:val="Teksttreci1"/>
        <w:spacing w:before="120" w:after="120"/>
        <w:ind w:left="120" w:right="40"/>
        <w:rPr>
          <w:rFonts w:asciiTheme="minorHAnsi" w:hAnsiTheme="minorHAnsi" w:cs="Microsoft Sans Serif"/>
          <w:sz w:val="22"/>
          <w:szCs w:val="22"/>
        </w:rPr>
      </w:pPr>
      <w:r w:rsidRPr="000D5EB5">
        <w:rPr>
          <w:rFonts w:asciiTheme="minorHAnsi" w:hAnsiTheme="minorHAnsi"/>
          <w:sz w:val="22"/>
          <w:szCs w:val="22"/>
        </w:rPr>
        <w:t xml:space="preserve">Tabela poniżej przedstawia skalę ocen za spełnienie poszczególnych </w:t>
      </w:r>
      <w:r w:rsidR="005943E2">
        <w:rPr>
          <w:rFonts w:asciiTheme="minorHAnsi" w:hAnsiTheme="minorHAnsi"/>
          <w:sz w:val="22"/>
          <w:szCs w:val="22"/>
        </w:rPr>
        <w:t>kryteriów</w:t>
      </w:r>
      <w:r w:rsidRPr="000D5EB5">
        <w:rPr>
          <w:rFonts w:asciiTheme="minorHAnsi" w:hAnsiTheme="minorHAnsi"/>
          <w:sz w:val="22"/>
          <w:szCs w:val="22"/>
        </w:rPr>
        <w:t xml:space="preserve"> i oceny, jakie można przyznać</w:t>
      </w:r>
      <w:r w:rsidR="005943E2">
        <w:rPr>
          <w:rFonts w:asciiTheme="minorHAnsi" w:hAnsiTheme="minorHAnsi"/>
          <w:sz w:val="22"/>
          <w:szCs w:val="22"/>
        </w:rPr>
        <w:t xml:space="preserve"> za spełnienie danego kryterium</w:t>
      </w:r>
      <w:r w:rsidRPr="000D5EB5">
        <w:rPr>
          <w:rFonts w:asciiTheme="minorHAnsi" w:hAnsiTheme="minorHAnsi"/>
          <w:sz w:val="22"/>
          <w:szCs w:val="22"/>
        </w:rPr>
        <w:t>.</w:t>
      </w:r>
    </w:p>
    <w:tbl>
      <w:tblPr>
        <w:tblW w:w="0" w:type="auto"/>
        <w:jc w:val="center"/>
        <w:tblLayout w:type="fixed"/>
        <w:tblCellMar>
          <w:left w:w="0" w:type="dxa"/>
          <w:right w:w="0" w:type="dxa"/>
        </w:tblCellMar>
        <w:tblLook w:val="0000"/>
      </w:tblPr>
      <w:tblGrid>
        <w:gridCol w:w="1773"/>
        <w:gridCol w:w="1918"/>
        <w:gridCol w:w="1614"/>
        <w:gridCol w:w="1930"/>
        <w:gridCol w:w="1615"/>
      </w:tblGrid>
      <w:tr w:rsidR="009D008C" w:rsidRPr="000D5EB5" w:rsidTr="005943E2">
        <w:trPr>
          <w:trHeight w:val="864"/>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121"/>
              <w:framePr w:wrap="notBeside" w:vAnchor="text" w:hAnchor="text" w:xAlign="center"/>
              <w:shd w:val="clear" w:color="auto" w:fill="auto"/>
              <w:spacing w:before="120" w:after="120" w:line="243" w:lineRule="exact"/>
              <w:ind w:left="120"/>
              <w:rPr>
                <w:rFonts w:asciiTheme="minorHAnsi" w:hAnsiTheme="minorHAnsi" w:cs="Microsoft Sans Serif"/>
              </w:rPr>
            </w:pPr>
            <w:r w:rsidRPr="005943E2">
              <w:rPr>
                <w:rFonts w:asciiTheme="minorHAnsi" w:hAnsiTheme="minorHAnsi"/>
              </w:rPr>
              <w:t>Maksymalna liczba punktów za spełnienie  kryterium</w:t>
            </w:r>
          </w:p>
        </w:tc>
        <w:tc>
          <w:tcPr>
            <w:tcW w:w="70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121"/>
              <w:framePr w:wrap="notBeside" w:vAnchor="text" w:hAnchor="text" w:xAlign="center"/>
              <w:shd w:val="clear" w:color="auto" w:fill="auto"/>
              <w:spacing w:before="120" w:after="120" w:line="240" w:lineRule="auto"/>
              <w:ind w:left="2660"/>
              <w:rPr>
                <w:rFonts w:asciiTheme="minorHAnsi" w:hAnsiTheme="minorHAnsi" w:cs="Microsoft Sans Serif"/>
              </w:rPr>
            </w:pPr>
            <w:r w:rsidRPr="005943E2">
              <w:rPr>
                <w:rFonts w:asciiTheme="minorHAnsi" w:hAnsiTheme="minorHAnsi"/>
              </w:rPr>
              <w:t>Skala ocen</w:t>
            </w:r>
          </w:p>
        </w:tc>
      </w:tr>
      <w:tr w:rsidR="009D008C" w:rsidRPr="000D5EB5" w:rsidTr="005943E2">
        <w:trPr>
          <w:trHeight w:val="250"/>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framePr w:wrap="notBeside" w:vAnchor="text" w:hAnchor="text" w:xAlign="center"/>
              <w:spacing w:before="120" w:after="120"/>
              <w:rPr>
                <w:rFonts w:asciiTheme="minorHAnsi" w:hAnsiTheme="minorHAnsi"/>
                <w:color w:val="auto"/>
                <w:sz w:val="20"/>
                <w:szCs w:val="20"/>
                <w:lang w:val="pl-PL" w:eastAsia="pl-PL"/>
              </w:rPr>
            </w:pP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121"/>
              <w:framePr w:wrap="notBeside" w:vAnchor="text" w:hAnchor="text" w:xAlign="center"/>
              <w:shd w:val="clear" w:color="auto" w:fill="auto"/>
              <w:spacing w:before="120" w:after="120" w:line="240" w:lineRule="auto"/>
              <w:ind w:left="320"/>
              <w:rPr>
                <w:rFonts w:asciiTheme="minorHAnsi" w:hAnsiTheme="minorHAnsi" w:cs="Microsoft Sans Serif"/>
              </w:rPr>
            </w:pPr>
            <w:r w:rsidRPr="005943E2">
              <w:rPr>
                <w:rFonts w:asciiTheme="minorHAnsi" w:hAnsiTheme="minorHAnsi"/>
              </w:rPr>
              <w:t>bardzo dobry</w:t>
            </w:r>
          </w:p>
        </w:tc>
        <w:tc>
          <w:tcPr>
            <w:tcW w:w="1614"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12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dobry</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121"/>
              <w:framePr w:wrap="notBeside" w:vAnchor="text" w:hAnchor="text" w:xAlign="center"/>
              <w:shd w:val="clear" w:color="auto" w:fill="auto"/>
              <w:spacing w:before="120" w:after="120" w:line="240" w:lineRule="auto"/>
              <w:ind w:left="620" w:hanging="250"/>
              <w:rPr>
                <w:rFonts w:asciiTheme="minorHAnsi" w:hAnsiTheme="minorHAnsi" w:cs="Microsoft Sans Serif"/>
              </w:rPr>
            </w:pPr>
            <w:r w:rsidRPr="005943E2">
              <w:rPr>
                <w:rFonts w:asciiTheme="minorHAnsi" w:hAnsiTheme="minorHAnsi"/>
              </w:rPr>
              <w:t xml:space="preserve">dostateczny </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121"/>
              <w:framePr w:wrap="notBeside" w:vAnchor="text" w:hAnchor="text" w:xAlign="center"/>
              <w:shd w:val="clear" w:color="auto" w:fill="auto"/>
              <w:spacing w:before="120" w:after="120" w:line="240" w:lineRule="auto"/>
              <w:jc w:val="center"/>
              <w:rPr>
                <w:rFonts w:asciiTheme="minorHAnsi" w:hAnsiTheme="minorHAnsi" w:cs="Microsoft Sans Serif"/>
              </w:rPr>
            </w:pPr>
            <w:r w:rsidRPr="005943E2">
              <w:rPr>
                <w:rFonts w:asciiTheme="minorHAnsi" w:hAnsiTheme="minorHAnsi"/>
              </w:rPr>
              <w:t>słaby</w:t>
            </w:r>
          </w:p>
        </w:tc>
      </w:tr>
      <w:tr w:rsidR="009D008C" w:rsidRPr="000D5EB5" w:rsidTr="005943E2">
        <w:trPr>
          <w:trHeight w:val="256"/>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780"/>
              <w:rPr>
                <w:rFonts w:asciiTheme="minorHAnsi" w:hAnsiTheme="minorHAnsi" w:cs="Microsoft Sans Serif"/>
              </w:rPr>
            </w:pPr>
            <w:r w:rsidRPr="005943E2">
              <w:rPr>
                <w:rFonts w:asciiTheme="minorHAnsi" w:hAnsiTheme="minorHAnsi"/>
              </w:rPr>
              <w:t>40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34-40</w:t>
            </w:r>
          </w:p>
        </w:tc>
        <w:tc>
          <w:tcPr>
            <w:tcW w:w="1614"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28- 33</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20"/>
              <w:rPr>
                <w:rFonts w:asciiTheme="minorHAnsi" w:hAnsiTheme="minorHAnsi" w:cs="Microsoft Sans Serif"/>
              </w:rPr>
            </w:pPr>
            <w:r w:rsidRPr="005943E2">
              <w:rPr>
                <w:rFonts w:asciiTheme="minorHAnsi" w:hAnsiTheme="minorHAnsi"/>
              </w:rPr>
              <w:t>20- 27</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40"/>
              <w:rPr>
                <w:rFonts w:asciiTheme="minorHAnsi" w:hAnsiTheme="minorHAnsi" w:cs="Microsoft Sans Serif"/>
              </w:rPr>
            </w:pPr>
            <w:r w:rsidRPr="005943E2">
              <w:rPr>
                <w:rFonts w:asciiTheme="minorHAnsi" w:hAnsiTheme="minorHAnsi"/>
              </w:rPr>
              <w:t>0-19</w:t>
            </w:r>
          </w:p>
        </w:tc>
      </w:tr>
      <w:tr w:rsidR="009D008C" w:rsidRPr="000D5EB5" w:rsidTr="005943E2">
        <w:trPr>
          <w:trHeight w:val="256"/>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780"/>
              <w:rPr>
                <w:rFonts w:asciiTheme="minorHAnsi" w:hAnsiTheme="minorHAnsi" w:cs="Microsoft Sans Serif"/>
              </w:rPr>
            </w:pPr>
            <w:r w:rsidRPr="005943E2">
              <w:rPr>
                <w:rFonts w:asciiTheme="minorHAnsi" w:hAnsiTheme="minorHAnsi"/>
              </w:rPr>
              <w:t>30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26-30</w:t>
            </w:r>
          </w:p>
        </w:tc>
        <w:tc>
          <w:tcPr>
            <w:tcW w:w="1614"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21-25</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20"/>
              <w:rPr>
                <w:rFonts w:asciiTheme="minorHAnsi" w:hAnsiTheme="minorHAnsi" w:cs="Microsoft Sans Serif"/>
              </w:rPr>
            </w:pPr>
            <w:r w:rsidRPr="005943E2">
              <w:rPr>
                <w:rFonts w:asciiTheme="minorHAnsi" w:hAnsiTheme="minorHAnsi"/>
              </w:rPr>
              <w:t>15-20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40"/>
              <w:rPr>
                <w:rFonts w:asciiTheme="minorHAnsi" w:hAnsiTheme="minorHAnsi" w:cs="Microsoft Sans Serif"/>
              </w:rPr>
            </w:pPr>
            <w:r w:rsidRPr="005943E2">
              <w:rPr>
                <w:rFonts w:asciiTheme="minorHAnsi" w:hAnsiTheme="minorHAnsi"/>
              </w:rPr>
              <w:t>0-14</w:t>
            </w:r>
          </w:p>
        </w:tc>
      </w:tr>
      <w:tr w:rsidR="009D008C" w:rsidRPr="000D5EB5" w:rsidTr="005943E2">
        <w:trPr>
          <w:trHeight w:val="262"/>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780"/>
              <w:rPr>
                <w:rFonts w:asciiTheme="minorHAnsi" w:hAnsiTheme="minorHAnsi" w:cs="Microsoft Sans Serif"/>
              </w:rPr>
            </w:pPr>
            <w:r w:rsidRPr="005943E2">
              <w:rPr>
                <w:rFonts w:asciiTheme="minorHAnsi" w:hAnsiTheme="minorHAnsi"/>
              </w:rPr>
              <w:t>20</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17-20</w:t>
            </w:r>
          </w:p>
        </w:tc>
        <w:tc>
          <w:tcPr>
            <w:tcW w:w="1614"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00"/>
              <w:rPr>
                <w:rFonts w:asciiTheme="minorHAnsi" w:hAnsiTheme="minorHAnsi" w:cs="Microsoft Sans Serif"/>
              </w:rPr>
            </w:pPr>
            <w:r w:rsidRPr="005943E2">
              <w:rPr>
                <w:rFonts w:asciiTheme="minorHAnsi" w:hAnsiTheme="minorHAnsi"/>
              </w:rPr>
              <w:t>14-16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20"/>
              <w:rPr>
                <w:rFonts w:asciiTheme="minorHAnsi" w:hAnsiTheme="minorHAnsi" w:cs="Microsoft Sans Serif"/>
              </w:rPr>
            </w:pPr>
            <w:r w:rsidRPr="005943E2">
              <w:rPr>
                <w:rFonts w:asciiTheme="minorHAnsi" w:hAnsiTheme="minorHAnsi"/>
              </w:rPr>
              <w:t>10-13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9D008C" w:rsidRPr="005943E2" w:rsidRDefault="009D008C" w:rsidP="00C371FE">
            <w:pPr>
              <w:pStyle w:val="Teksttreci51"/>
              <w:framePr w:wrap="notBeside" w:vAnchor="text" w:hAnchor="text" w:xAlign="center"/>
              <w:shd w:val="clear" w:color="auto" w:fill="auto"/>
              <w:spacing w:before="120" w:after="120" w:line="240" w:lineRule="auto"/>
              <w:ind w:left="640"/>
              <w:rPr>
                <w:rFonts w:asciiTheme="minorHAnsi" w:hAnsiTheme="minorHAnsi" w:cs="Microsoft Sans Serif"/>
              </w:rPr>
            </w:pPr>
            <w:r w:rsidRPr="005943E2">
              <w:rPr>
                <w:rFonts w:asciiTheme="minorHAnsi" w:hAnsiTheme="minorHAnsi"/>
              </w:rPr>
              <w:t>0-9</w:t>
            </w:r>
          </w:p>
        </w:tc>
      </w:tr>
    </w:tbl>
    <w:p w:rsidR="009D008C" w:rsidRPr="000D5EB5" w:rsidRDefault="009D008C" w:rsidP="00C371FE">
      <w:pPr>
        <w:spacing w:before="120" w:after="120"/>
        <w:rPr>
          <w:rFonts w:asciiTheme="minorHAnsi" w:hAnsiTheme="minorHAnsi"/>
          <w:color w:val="auto"/>
          <w:sz w:val="22"/>
          <w:szCs w:val="22"/>
          <w:lang w:val="pl-PL" w:eastAsia="pl-PL"/>
        </w:rPr>
      </w:pPr>
    </w:p>
    <w:p w:rsidR="009D008C" w:rsidRPr="000D5EB5" w:rsidRDefault="009D008C" w:rsidP="00C371FE">
      <w:pPr>
        <w:pStyle w:val="Teksttreci1"/>
        <w:spacing w:before="120" w:after="120"/>
        <w:ind w:left="120" w:right="40"/>
        <w:rPr>
          <w:rFonts w:asciiTheme="minorHAnsi" w:hAnsiTheme="minorHAnsi" w:cs="Microsoft Sans Serif"/>
          <w:sz w:val="22"/>
          <w:szCs w:val="22"/>
        </w:rPr>
      </w:pPr>
      <w:r w:rsidRPr="000D5EB5">
        <w:rPr>
          <w:rFonts w:asciiTheme="minorHAnsi" w:hAnsiTheme="minorHAnsi"/>
          <w:sz w:val="22"/>
          <w:szCs w:val="22"/>
        </w:rPr>
        <w:t xml:space="preserve">Eksperci zobowiązani są dodać komentarze do każdego kryterium oceny, w których muszą jednoznacznie odnieść się do poszczególnych </w:t>
      </w:r>
      <w:proofErr w:type="spellStart"/>
      <w:r w:rsidR="006828B4">
        <w:rPr>
          <w:rFonts w:asciiTheme="minorHAnsi" w:hAnsiTheme="minorHAnsi"/>
          <w:sz w:val="22"/>
          <w:szCs w:val="22"/>
        </w:rPr>
        <w:t>podkryteriów</w:t>
      </w:r>
      <w:proofErr w:type="spellEnd"/>
      <w:r w:rsidRPr="000D5EB5">
        <w:rPr>
          <w:rFonts w:asciiTheme="minorHAnsi" w:hAnsiTheme="minorHAnsi"/>
          <w:sz w:val="22"/>
          <w:szCs w:val="22"/>
        </w:rPr>
        <w:t>. Komentarze do każdego kryterium oceny muszą odzwierciedlać i uzasadniać przyznaną ocenę punktową.</w:t>
      </w:r>
    </w:p>
    <w:p w:rsidR="009D008C" w:rsidRPr="000D5EB5" w:rsidRDefault="009D008C" w:rsidP="00C371FE">
      <w:pPr>
        <w:pStyle w:val="Teksttreci1"/>
        <w:spacing w:before="120" w:after="120"/>
        <w:ind w:left="120" w:right="40"/>
        <w:rPr>
          <w:rFonts w:asciiTheme="minorHAnsi" w:hAnsiTheme="minorHAnsi" w:cs="Microsoft Sans Serif"/>
          <w:sz w:val="22"/>
          <w:szCs w:val="22"/>
        </w:rPr>
      </w:pPr>
      <w:r w:rsidRPr="000D5EB5">
        <w:rPr>
          <w:rFonts w:asciiTheme="minorHAnsi" w:hAnsiTheme="minorHAnsi"/>
          <w:sz w:val="22"/>
          <w:szCs w:val="22"/>
        </w:rPr>
        <w:t>Na zakończenie oceny, eksperci przedstawiają ogólny komentarz n</w:t>
      </w:r>
      <w:r w:rsidR="00C1256F">
        <w:rPr>
          <w:rFonts w:asciiTheme="minorHAnsi" w:hAnsiTheme="minorHAnsi"/>
          <w:sz w:val="22"/>
          <w:szCs w:val="22"/>
        </w:rPr>
        <w:t xml:space="preserve">a </w:t>
      </w:r>
      <w:r w:rsidRPr="000D5EB5">
        <w:rPr>
          <w:rFonts w:asciiTheme="minorHAnsi" w:hAnsiTheme="minorHAnsi"/>
          <w:sz w:val="22"/>
          <w:szCs w:val="22"/>
        </w:rPr>
        <w:t>t</w:t>
      </w:r>
      <w:r w:rsidR="00C1256F">
        <w:rPr>
          <w:rFonts w:asciiTheme="minorHAnsi" w:hAnsiTheme="minorHAnsi"/>
          <w:sz w:val="22"/>
          <w:szCs w:val="22"/>
        </w:rPr>
        <w:t>emat</w:t>
      </w:r>
      <w:r w:rsidRPr="000D5EB5">
        <w:rPr>
          <w:rFonts w:asciiTheme="minorHAnsi" w:hAnsiTheme="minorHAnsi"/>
          <w:sz w:val="22"/>
          <w:szCs w:val="22"/>
        </w:rPr>
        <w:t xml:space="preserve"> całego wniosku. W komentarzu tym, eksperci muszą przedstawić dogłębną analizę wniosku i wyszczególnić jego mocne i słabe strony oraz określić ulepszenia, jakie można by wprowadzić.</w:t>
      </w:r>
    </w:p>
    <w:p w:rsidR="009D008C" w:rsidRPr="000D5EB5" w:rsidRDefault="00C1256F" w:rsidP="00C371FE">
      <w:pPr>
        <w:pStyle w:val="Teksttreci1"/>
        <w:spacing w:before="120" w:after="120" w:line="240" w:lineRule="exact"/>
        <w:ind w:left="120" w:right="40"/>
        <w:rPr>
          <w:rFonts w:asciiTheme="minorHAnsi" w:hAnsiTheme="minorHAnsi"/>
          <w:sz w:val="22"/>
          <w:szCs w:val="22"/>
        </w:rPr>
      </w:pPr>
      <w:r>
        <w:rPr>
          <w:rFonts w:asciiTheme="minorHAnsi" w:hAnsiTheme="minorHAnsi"/>
          <w:sz w:val="22"/>
          <w:szCs w:val="22"/>
        </w:rPr>
        <w:t>E</w:t>
      </w:r>
      <w:r w:rsidRPr="000D5EB5">
        <w:rPr>
          <w:rFonts w:asciiTheme="minorHAnsi" w:hAnsiTheme="minorHAnsi"/>
          <w:sz w:val="22"/>
          <w:szCs w:val="22"/>
        </w:rPr>
        <w:t>ksperci muszą dołożyć starań, ab</w:t>
      </w:r>
      <w:r>
        <w:rPr>
          <w:rFonts w:asciiTheme="minorHAnsi" w:hAnsiTheme="minorHAnsi"/>
          <w:sz w:val="22"/>
          <w:szCs w:val="22"/>
        </w:rPr>
        <w:t xml:space="preserve">y komentarze były zrozumiałe, spójne i szczegółowe ponieważ </w:t>
      </w:r>
      <w:r w:rsidR="009D008C" w:rsidRPr="000D5EB5">
        <w:rPr>
          <w:rFonts w:asciiTheme="minorHAnsi" w:hAnsiTheme="minorHAnsi"/>
          <w:sz w:val="22"/>
          <w:szCs w:val="22"/>
        </w:rPr>
        <w:t>Narodowe Ag</w:t>
      </w:r>
      <w:r>
        <w:rPr>
          <w:rFonts w:asciiTheme="minorHAnsi" w:hAnsiTheme="minorHAnsi"/>
          <w:sz w:val="22"/>
          <w:szCs w:val="22"/>
        </w:rPr>
        <w:t>encje użyją tych komentarzy do przedstawienia</w:t>
      </w:r>
      <w:r w:rsidR="009D008C" w:rsidRPr="000D5EB5">
        <w:rPr>
          <w:rFonts w:asciiTheme="minorHAnsi" w:hAnsiTheme="minorHAnsi"/>
          <w:sz w:val="22"/>
          <w:szCs w:val="22"/>
        </w:rPr>
        <w:t xml:space="preserve"> </w:t>
      </w:r>
      <w:r w:rsidRPr="000D5EB5">
        <w:rPr>
          <w:rFonts w:asciiTheme="minorHAnsi" w:hAnsiTheme="minorHAnsi"/>
          <w:sz w:val="22"/>
          <w:szCs w:val="22"/>
        </w:rPr>
        <w:t xml:space="preserve">wnioskodawcom </w:t>
      </w:r>
      <w:r w:rsidR="009D008C" w:rsidRPr="000D5EB5">
        <w:rPr>
          <w:rFonts w:asciiTheme="minorHAnsi" w:hAnsiTheme="minorHAnsi"/>
          <w:sz w:val="22"/>
          <w:szCs w:val="22"/>
        </w:rPr>
        <w:t>informacj</w:t>
      </w:r>
      <w:r>
        <w:rPr>
          <w:rFonts w:asciiTheme="minorHAnsi" w:hAnsiTheme="minorHAnsi"/>
          <w:sz w:val="22"/>
          <w:szCs w:val="22"/>
        </w:rPr>
        <w:t>i zwrotnych</w:t>
      </w:r>
      <w:r w:rsidR="009D008C" w:rsidRPr="000D5EB5">
        <w:rPr>
          <w:rFonts w:asciiTheme="minorHAnsi" w:hAnsiTheme="minorHAnsi"/>
          <w:sz w:val="22"/>
          <w:szCs w:val="22"/>
        </w:rPr>
        <w:t>. Komentarze są  sporządzane w języku określonym przez Narodową Agencję.</w:t>
      </w:r>
    </w:p>
    <w:p w:rsidR="009D008C" w:rsidRPr="000D5EB5" w:rsidRDefault="009D008C" w:rsidP="00C371FE">
      <w:pPr>
        <w:pStyle w:val="Teksttreci1"/>
        <w:spacing w:before="120" w:after="120" w:line="240" w:lineRule="exact"/>
        <w:ind w:left="120" w:right="40"/>
        <w:rPr>
          <w:rFonts w:asciiTheme="minorHAnsi" w:hAnsiTheme="minorHAnsi"/>
          <w:sz w:val="22"/>
          <w:szCs w:val="22"/>
        </w:rPr>
      </w:pPr>
      <w:r w:rsidRPr="000D5EB5">
        <w:rPr>
          <w:rFonts w:asciiTheme="minorHAnsi" w:hAnsiTheme="minorHAnsi"/>
          <w:sz w:val="22"/>
          <w:szCs w:val="22"/>
        </w:rPr>
        <w:t>W ramach oceny</w:t>
      </w:r>
      <w:r w:rsidR="00C1256F">
        <w:rPr>
          <w:rFonts w:asciiTheme="minorHAnsi" w:hAnsiTheme="minorHAnsi"/>
          <w:sz w:val="22"/>
          <w:szCs w:val="22"/>
        </w:rPr>
        <w:t xml:space="preserve"> jakościowej eksperci oceniają</w:t>
      </w:r>
      <w:r w:rsidRPr="000D5EB5">
        <w:rPr>
          <w:rFonts w:asciiTheme="minorHAnsi" w:hAnsiTheme="minorHAnsi"/>
          <w:sz w:val="22"/>
          <w:szCs w:val="22"/>
        </w:rPr>
        <w:t xml:space="preserve"> zasadność i spójność wniosku o dofinansowanie. W szc</w:t>
      </w:r>
      <w:r w:rsidR="00C1256F">
        <w:rPr>
          <w:rFonts w:asciiTheme="minorHAnsi" w:hAnsiTheme="minorHAnsi"/>
          <w:sz w:val="22"/>
          <w:szCs w:val="22"/>
        </w:rPr>
        <w:t xml:space="preserve">zególności, analizują spójność </w:t>
      </w:r>
      <w:r w:rsidRPr="000D5EB5">
        <w:rPr>
          <w:rFonts w:asciiTheme="minorHAnsi" w:hAnsiTheme="minorHAnsi"/>
          <w:sz w:val="22"/>
          <w:szCs w:val="22"/>
        </w:rPr>
        <w:t>wnioskowanego budżetu z proponowanymi działaniami i rezultatami. Jeżeli wniosek jest wystarczająco dobrej jakości by mógł otrzymać dofinansowanie,</w:t>
      </w:r>
      <w:r w:rsidR="00C1256F">
        <w:rPr>
          <w:rFonts w:asciiTheme="minorHAnsi" w:hAnsiTheme="minorHAnsi"/>
          <w:sz w:val="22"/>
          <w:szCs w:val="22"/>
        </w:rPr>
        <w:t xml:space="preserve"> ale</w:t>
      </w:r>
      <w:r w:rsidRPr="000D5EB5">
        <w:rPr>
          <w:rFonts w:asciiTheme="minorHAnsi" w:hAnsiTheme="minorHAnsi"/>
          <w:sz w:val="22"/>
          <w:szCs w:val="22"/>
        </w:rPr>
        <w:t xml:space="preserve"> nie jest spójny, eksperci mogą zasugerować obniżenie wnioskowanej kwoty dofinansowania z wyszczególnieniem kategorii budżetowych i powodów, z jakich uznają, że wnioskowi brak spójności lub  </w:t>
      </w:r>
      <w:r w:rsidR="00C1256F">
        <w:rPr>
          <w:rFonts w:asciiTheme="minorHAnsi" w:hAnsiTheme="minorHAnsi"/>
          <w:sz w:val="22"/>
          <w:szCs w:val="22"/>
        </w:rPr>
        <w:t xml:space="preserve">że </w:t>
      </w:r>
      <w:r w:rsidRPr="000D5EB5">
        <w:rPr>
          <w:rFonts w:asciiTheme="minorHAnsi" w:hAnsiTheme="minorHAnsi"/>
          <w:sz w:val="22"/>
          <w:szCs w:val="22"/>
        </w:rPr>
        <w:t xml:space="preserve">budżet jest przeszacowany. Jednakże to Narodowa Agencja podejmuje ostateczną decyzję co do kwoty dofinansowania przyznanej danemu wnioskodawcy. UWAGA: ekspertom nie wolno sugerować przyznania wyższej kwoty dofinansowania niż wnioskowana. </w:t>
      </w:r>
    </w:p>
    <w:p w:rsidR="009D008C" w:rsidRPr="000D5EB5" w:rsidRDefault="009D008C" w:rsidP="00C371FE">
      <w:pPr>
        <w:pStyle w:val="Teksttreci1"/>
        <w:spacing w:before="120" w:after="120" w:line="240" w:lineRule="exact"/>
        <w:ind w:left="120" w:right="40"/>
        <w:rPr>
          <w:rFonts w:asciiTheme="minorHAnsi" w:hAnsiTheme="minorHAnsi" w:cs="Microsoft Sans Serif"/>
          <w:sz w:val="22"/>
          <w:szCs w:val="22"/>
        </w:rPr>
      </w:pPr>
      <w:r w:rsidRPr="000D5EB5">
        <w:rPr>
          <w:rFonts w:asciiTheme="minorHAnsi" w:hAnsiTheme="minorHAnsi"/>
          <w:sz w:val="22"/>
          <w:szCs w:val="22"/>
        </w:rPr>
        <w:br/>
        <w:t xml:space="preserve">Narodowa Agencja monitoruje jakość ocen dokonywanych przez ekspertów i </w:t>
      </w:r>
      <w:r w:rsidR="00DE1AEB">
        <w:rPr>
          <w:rFonts w:asciiTheme="minorHAnsi" w:hAnsiTheme="minorHAnsi"/>
          <w:sz w:val="22"/>
          <w:szCs w:val="22"/>
        </w:rPr>
        <w:t>jeśli</w:t>
      </w:r>
      <w:r w:rsidR="00DE1AEB" w:rsidRPr="000D5EB5">
        <w:rPr>
          <w:rFonts w:asciiTheme="minorHAnsi" w:hAnsiTheme="minorHAnsi"/>
          <w:sz w:val="22"/>
          <w:szCs w:val="22"/>
        </w:rPr>
        <w:t xml:space="preserve"> </w:t>
      </w:r>
      <w:r w:rsidR="00DE1AEB">
        <w:rPr>
          <w:rFonts w:asciiTheme="minorHAnsi" w:hAnsiTheme="minorHAnsi"/>
          <w:sz w:val="22"/>
          <w:szCs w:val="22"/>
        </w:rPr>
        <w:t>nie jest ona wystarczająca,</w:t>
      </w:r>
      <w:r w:rsidR="00DE1AEB" w:rsidRPr="000D5EB5">
        <w:rPr>
          <w:rFonts w:asciiTheme="minorHAnsi" w:hAnsiTheme="minorHAnsi"/>
          <w:sz w:val="22"/>
          <w:szCs w:val="22"/>
        </w:rPr>
        <w:t xml:space="preserve"> </w:t>
      </w:r>
      <w:r w:rsidRPr="000D5EB5">
        <w:rPr>
          <w:rFonts w:asciiTheme="minorHAnsi" w:hAnsiTheme="minorHAnsi"/>
          <w:sz w:val="22"/>
          <w:szCs w:val="22"/>
        </w:rPr>
        <w:t>może zwr</w:t>
      </w:r>
      <w:r w:rsidR="00C6612C">
        <w:rPr>
          <w:rFonts w:asciiTheme="minorHAnsi" w:hAnsiTheme="minorHAnsi"/>
          <w:sz w:val="22"/>
          <w:szCs w:val="22"/>
        </w:rPr>
        <w:t>ócić się do eksperta z prośbą</w:t>
      </w:r>
      <w:r w:rsidRPr="000D5EB5">
        <w:rPr>
          <w:rFonts w:asciiTheme="minorHAnsi" w:hAnsiTheme="minorHAnsi"/>
          <w:sz w:val="22"/>
          <w:szCs w:val="22"/>
        </w:rPr>
        <w:t xml:space="preserve"> o ponowną ocenę.</w:t>
      </w:r>
      <w:bookmarkStart w:id="14" w:name="bookmark19"/>
    </w:p>
    <w:p w:rsidR="009D008C" w:rsidRPr="000D5EB5" w:rsidRDefault="009D008C" w:rsidP="00C371FE">
      <w:pPr>
        <w:pStyle w:val="Teksttreci1"/>
        <w:spacing w:before="120" w:after="120" w:line="240" w:lineRule="exact"/>
        <w:ind w:left="120" w:right="40"/>
        <w:rPr>
          <w:rFonts w:asciiTheme="minorHAnsi" w:hAnsiTheme="minorHAnsi" w:cs="Microsoft Sans Serif"/>
          <w:sz w:val="22"/>
          <w:szCs w:val="22"/>
        </w:rPr>
      </w:pPr>
      <w:r w:rsidRPr="000D5EB5">
        <w:rPr>
          <w:rFonts w:asciiTheme="minorHAnsi" w:hAnsiTheme="minorHAnsi"/>
          <w:sz w:val="22"/>
          <w:szCs w:val="22"/>
        </w:rPr>
        <w:t>Eksperci muszą oceniać wnioski w całości, bez względu na oceny</w:t>
      </w:r>
      <w:r w:rsidR="00DE1AEB">
        <w:rPr>
          <w:rFonts w:asciiTheme="minorHAnsi" w:hAnsiTheme="minorHAnsi"/>
          <w:sz w:val="22"/>
          <w:szCs w:val="22"/>
        </w:rPr>
        <w:t xml:space="preserve"> punktowe</w:t>
      </w:r>
      <w:r w:rsidRPr="000D5EB5">
        <w:rPr>
          <w:rFonts w:asciiTheme="minorHAnsi" w:hAnsiTheme="minorHAnsi"/>
          <w:sz w:val="22"/>
          <w:szCs w:val="22"/>
        </w:rPr>
        <w:t xml:space="preserve"> przyznane w ramach danego kryterium.</w:t>
      </w:r>
      <w:bookmarkEnd w:id="14"/>
    </w:p>
    <w:p w:rsidR="00C371FE" w:rsidRDefault="00C371FE" w:rsidP="00C371FE">
      <w:pPr>
        <w:pStyle w:val="Nagwek31"/>
        <w:tabs>
          <w:tab w:val="left" w:pos="474"/>
        </w:tabs>
        <w:spacing w:before="120" w:after="120" w:line="240" w:lineRule="auto"/>
        <w:ind w:left="20"/>
        <w:rPr>
          <w:rStyle w:val="Nagwek33"/>
          <w:rFonts w:asciiTheme="minorHAnsi" w:hAnsiTheme="minorHAnsi"/>
          <w:b/>
          <w:sz w:val="22"/>
          <w:szCs w:val="22"/>
        </w:rPr>
      </w:pPr>
      <w:bookmarkStart w:id="15" w:name="_Toc383878276"/>
    </w:p>
    <w:p w:rsidR="00C371FE" w:rsidRDefault="00C371FE" w:rsidP="00C371FE">
      <w:pPr>
        <w:pStyle w:val="Nagwek31"/>
        <w:tabs>
          <w:tab w:val="left" w:pos="474"/>
        </w:tabs>
        <w:spacing w:before="120" w:after="120" w:line="240" w:lineRule="auto"/>
        <w:ind w:left="20"/>
        <w:rPr>
          <w:rStyle w:val="Nagwek33"/>
          <w:rFonts w:asciiTheme="minorHAnsi" w:hAnsiTheme="minorHAnsi"/>
          <w:b/>
          <w:sz w:val="22"/>
          <w:szCs w:val="22"/>
        </w:rPr>
      </w:pPr>
    </w:p>
    <w:p w:rsidR="009D008C" w:rsidRPr="004D0F57" w:rsidRDefault="009D008C" w:rsidP="00C371FE">
      <w:pPr>
        <w:pStyle w:val="Nagwek31"/>
        <w:tabs>
          <w:tab w:val="left" w:pos="474"/>
        </w:tabs>
        <w:spacing w:before="120" w:after="120" w:line="240" w:lineRule="auto"/>
        <w:ind w:left="23"/>
        <w:rPr>
          <w:rFonts w:asciiTheme="minorHAnsi" w:hAnsiTheme="minorHAnsi"/>
          <w:b w:val="0"/>
          <w:sz w:val="22"/>
          <w:szCs w:val="22"/>
        </w:rPr>
      </w:pPr>
      <w:r w:rsidRPr="004D0F57">
        <w:rPr>
          <w:rStyle w:val="Nagwek33"/>
          <w:rFonts w:asciiTheme="minorHAnsi" w:hAnsiTheme="minorHAnsi"/>
          <w:b/>
          <w:sz w:val="22"/>
          <w:szCs w:val="22"/>
        </w:rPr>
        <w:lastRenderedPageBreak/>
        <w:t>3.4 Progi</w:t>
      </w:r>
      <w:bookmarkEnd w:id="15"/>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 xml:space="preserve">Aby wniosek złożony do Narodowej Agencji mógł uzyskać dofinansowanie w ramach </w:t>
      </w:r>
      <w:proofErr w:type="spellStart"/>
      <w:r w:rsidRPr="000D5EB5">
        <w:rPr>
          <w:rFonts w:asciiTheme="minorHAnsi" w:hAnsiTheme="minorHAnsi"/>
          <w:sz w:val="22"/>
          <w:szCs w:val="22"/>
        </w:rPr>
        <w:t>programu</w:t>
      </w:r>
      <w:proofErr w:type="spellEnd"/>
      <w:r w:rsidRPr="000D5EB5">
        <w:rPr>
          <w:rFonts w:asciiTheme="minorHAnsi" w:hAnsiTheme="minorHAnsi"/>
          <w:sz w:val="22"/>
          <w:szCs w:val="22"/>
        </w:rPr>
        <w:t xml:space="preserve"> Erasmus+, musi on:</w:t>
      </w:r>
    </w:p>
    <w:p w:rsidR="009D008C" w:rsidRPr="000D5EB5" w:rsidRDefault="009D008C" w:rsidP="00C371FE">
      <w:pPr>
        <w:pStyle w:val="Teksttreci51"/>
        <w:numPr>
          <w:ilvl w:val="0"/>
          <w:numId w:val="5"/>
        </w:numPr>
        <w:tabs>
          <w:tab w:val="left" w:pos="735"/>
        </w:tabs>
        <w:spacing w:before="120" w:after="120" w:line="240" w:lineRule="auto"/>
        <w:rPr>
          <w:rFonts w:asciiTheme="minorHAnsi" w:hAnsiTheme="minorHAnsi"/>
          <w:sz w:val="22"/>
          <w:szCs w:val="22"/>
        </w:rPr>
      </w:pPr>
      <w:r w:rsidRPr="000D5EB5">
        <w:rPr>
          <w:rFonts w:asciiTheme="minorHAnsi" w:hAnsiTheme="minorHAnsi"/>
          <w:sz w:val="22"/>
          <w:szCs w:val="22"/>
        </w:rPr>
        <w:t>uzyskać łącznie minimum 60 punktów</w:t>
      </w:r>
      <w:r w:rsidRPr="000D5EB5">
        <w:rPr>
          <w:rStyle w:val="Teksttreci5Pogrubienie"/>
          <w:rFonts w:asciiTheme="minorHAnsi" w:hAnsiTheme="minorHAnsi"/>
          <w:sz w:val="22"/>
          <w:szCs w:val="22"/>
        </w:rPr>
        <w:t xml:space="preserve"> oraz</w:t>
      </w:r>
    </w:p>
    <w:p w:rsidR="009D008C" w:rsidRDefault="009D008C" w:rsidP="00C371FE">
      <w:pPr>
        <w:pStyle w:val="Teksttreci51"/>
        <w:numPr>
          <w:ilvl w:val="0"/>
          <w:numId w:val="5"/>
        </w:numPr>
        <w:tabs>
          <w:tab w:val="left" w:pos="735"/>
        </w:tabs>
        <w:spacing w:before="120" w:after="120" w:line="240" w:lineRule="auto"/>
        <w:rPr>
          <w:rFonts w:asciiTheme="minorHAnsi" w:hAnsiTheme="minorHAnsi"/>
          <w:sz w:val="22"/>
          <w:szCs w:val="22"/>
        </w:rPr>
      </w:pPr>
      <w:r w:rsidRPr="000D5EB5">
        <w:rPr>
          <w:rFonts w:asciiTheme="minorHAnsi" w:hAnsiTheme="minorHAnsi"/>
          <w:sz w:val="22"/>
          <w:szCs w:val="22"/>
        </w:rPr>
        <w:t>uzyskać przynajmniej 50% maksymalnej liczby punktów za każde kryterium oceny.</w:t>
      </w:r>
    </w:p>
    <w:p w:rsidR="00C371FE" w:rsidRPr="000D5EB5" w:rsidRDefault="00C371FE" w:rsidP="00C371FE">
      <w:pPr>
        <w:pStyle w:val="Teksttreci51"/>
        <w:tabs>
          <w:tab w:val="left" w:pos="735"/>
        </w:tabs>
        <w:spacing w:before="120" w:after="120" w:line="240" w:lineRule="auto"/>
        <w:ind w:left="740"/>
        <w:rPr>
          <w:rFonts w:asciiTheme="minorHAnsi" w:hAnsiTheme="minorHAnsi"/>
          <w:sz w:val="22"/>
          <w:szCs w:val="22"/>
        </w:rPr>
      </w:pPr>
    </w:p>
    <w:p w:rsidR="009D008C" w:rsidRPr="004D0F57" w:rsidRDefault="009D008C" w:rsidP="00C371FE">
      <w:pPr>
        <w:pStyle w:val="Nagwek31"/>
        <w:numPr>
          <w:ilvl w:val="1"/>
          <w:numId w:val="6"/>
        </w:numPr>
        <w:tabs>
          <w:tab w:val="left" w:pos="474"/>
        </w:tabs>
        <w:spacing w:before="120" w:after="120" w:line="240" w:lineRule="auto"/>
        <w:ind w:hanging="357"/>
        <w:rPr>
          <w:rFonts w:asciiTheme="minorHAnsi" w:hAnsiTheme="minorHAnsi"/>
          <w:b w:val="0"/>
          <w:sz w:val="22"/>
          <w:szCs w:val="22"/>
        </w:rPr>
      </w:pPr>
      <w:bookmarkStart w:id="16" w:name="bookmark21"/>
      <w:bookmarkStart w:id="17" w:name="_Toc383878277"/>
      <w:r w:rsidRPr="004D0F57">
        <w:rPr>
          <w:rStyle w:val="Nagwek33"/>
          <w:rFonts w:asciiTheme="minorHAnsi" w:hAnsiTheme="minorHAnsi"/>
          <w:b/>
          <w:sz w:val="22"/>
          <w:szCs w:val="22"/>
        </w:rPr>
        <w:t>Możliwe problemy z wnioskami</w:t>
      </w:r>
      <w:bookmarkEnd w:id="16"/>
      <w:bookmarkEnd w:id="17"/>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W żadnym przypadku ekspertom nie wolno bezpośrednio kontaktować się z wnioskodawcami. Jeżeli jakiekolwiek problemy wynikną podczas oceny, eksperci powinni skontaktować się z Narodową Agencją, która zadecyduje czy wnioskodawca zostanie poproszony o przedstawienie dodatkowych informacji lub wyjaśnień lub czy wniosek powinien być oceniany w formie, w jakiej został złożony.</w:t>
      </w:r>
    </w:p>
    <w:p w:rsidR="009D008C" w:rsidRDefault="00DE1AEB" w:rsidP="00C371FE">
      <w:pPr>
        <w:pStyle w:val="Teksttreci1"/>
        <w:spacing w:before="120" w:after="120"/>
        <w:ind w:left="20" w:right="20"/>
        <w:rPr>
          <w:rFonts w:asciiTheme="minorHAnsi" w:hAnsiTheme="minorHAnsi"/>
          <w:sz w:val="22"/>
          <w:szCs w:val="22"/>
        </w:rPr>
      </w:pPr>
      <w:bookmarkStart w:id="18" w:name="bookmark23"/>
      <w:r>
        <w:rPr>
          <w:rFonts w:asciiTheme="minorHAnsi" w:hAnsiTheme="minorHAnsi"/>
          <w:sz w:val="22"/>
          <w:szCs w:val="22"/>
        </w:rPr>
        <w:t>E</w:t>
      </w:r>
      <w:r w:rsidR="009D008C" w:rsidRPr="000D5EB5">
        <w:rPr>
          <w:rFonts w:asciiTheme="minorHAnsi" w:hAnsiTheme="minorHAnsi"/>
          <w:sz w:val="22"/>
          <w:szCs w:val="22"/>
        </w:rPr>
        <w:t xml:space="preserve">ksperci </w:t>
      </w:r>
      <w:r w:rsidRPr="000D5EB5">
        <w:rPr>
          <w:rFonts w:asciiTheme="minorHAnsi" w:hAnsiTheme="minorHAnsi"/>
          <w:sz w:val="22"/>
          <w:szCs w:val="22"/>
        </w:rPr>
        <w:t>zobowiązani są bezzwłocznie</w:t>
      </w:r>
      <w:r>
        <w:rPr>
          <w:rFonts w:asciiTheme="minorHAnsi" w:hAnsiTheme="minorHAnsi"/>
          <w:sz w:val="22"/>
          <w:szCs w:val="22"/>
        </w:rPr>
        <w:t xml:space="preserve"> poinformować </w:t>
      </w:r>
      <w:r w:rsidRPr="000D5EB5">
        <w:rPr>
          <w:rFonts w:asciiTheme="minorHAnsi" w:hAnsiTheme="minorHAnsi"/>
          <w:sz w:val="22"/>
          <w:szCs w:val="22"/>
        </w:rPr>
        <w:t xml:space="preserve">Narodową Agencję </w:t>
      </w:r>
      <w:r>
        <w:rPr>
          <w:rFonts w:asciiTheme="minorHAnsi" w:hAnsiTheme="minorHAnsi"/>
          <w:sz w:val="22"/>
          <w:szCs w:val="22"/>
        </w:rPr>
        <w:t>jeśli zauważą podczas oceny</w:t>
      </w:r>
      <w:r w:rsidR="009D008C" w:rsidRPr="000D5EB5">
        <w:rPr>
          <w:rFonts w:asciiTheme="minorHAnsi" w:hAnsiTheme="minorHAnsi"/>
          <w:sz w:val="22"/>
          <w:szCs w:val="22"/>
        </w:rPr>
        <w:t xml:space="preserve"> taki sam lub podobny tekst pojawia</w:t>
      </w:r>
      <w:r>
        <w:rPr>
          <w:rFonts w:asciiTheme="minorHAnsi" w:hAnsiTheme="minorHAnsi"/>
          <w:sz w:val="22"/>
          <w:szCs w:val="22"/>
        </w:rPr>
        <w:t>jący</w:t>
      </w:r>
      <w:r w:rsidR="009D008C" w:rsidRPr="000D5EB5">
        <w:rPr>
          <w:rFonts w:asciiTheme="minorHAnsi" w:hAnsiTheme="minorHAnsi"/>
          <w:sz w:val="22"/>
          <w:szCs w:val="22"/>
        </w:rPr>
        <w:t xml:space="preserve"> się w dwóch lub większej liczbie wniosków złożonych w danej rundzie selekcyjnej lub inne oznaki możliwych po</w:t>
      </w:r>
      <w:r>
        <w:rPr>
          <w:rFonts w:asciiTheme="minorHAnsi" w:hAnsiTheme="minorHAnsi"/>
          <w:sz w:val="22"/>
          <w:szCs w:val="22"/>
        </w:rPr>
        <w:t>dwójnych lub podobnych wniosków</w:t>
      </w:r>
      <w:r w:rsidR="009D008C" w:rsidRPr="000D5EB5">
        <w:rPr>
          <w:rFonts w:asciiTheme="minorHAnsi" w:hAnsiTheme="minorHAnsi"/>
          <w:sz w:val="22"/>
          <w:szCs w:val="22"/>
        </w:rPr>
        <w:t>.</w:t>
      </w:r>
      <w:bookmarkEnd w:id="18"/>
    </w:p>
    <w:p w:rsidR="00C371FE" w:rsidRPr="000D5EB5" w:rsidRDefault="00C371FE" w:rsidP="00C371FE">
      <w:pPr>
        <w:pStyle w:val="Teksttreci1"/>
        <w:spacing w:before="120" w:after="120"/>
        <w:ind w:left="20" w:right="20"/>
        <w:rPr>
          <w:rFonts w:asciiTheme="minorHAnsi" w:hAnsiTheme="minorHAnsi" w:cs="Microsoft Sans Serif"/>
          <w:sz w:val="22"/>
          <w:szCs w:val="22"/>
        </w:rPr>
      </w:pPr>
    </w:p>
    <w:p w:rsidR="009D008C" w:rsidRPr="00C371FE" w:rsidRDefault="009D008C" w:rsidP="00C371FE">
      <w:pPr>
        <w:pStyle w:val="Nagwek31"/>
        <w:spacing w:before="120" w:after="120" w:line="275" w:lineRule="exact"/>
        <w:ind w:left="20"/>
        <w:rPr>
          <w:rFonts w:asciiTheme="minorHAnsi" w:hAnsiTheme="minorHAnsi" w:cs="Microsoft Sans Serif"/>
          <w:b w:val="0"/>
          <w:sz w:val="22"/>
          <w:szCs w:val="22"/>
        </w:rPr>
      </w:pPr>
      <w:bookmarkStart w:id="19" w:name="_Toc383878278"/>
      <w:r w:rsidRPr="009155BB">
        <w:rPr>
          <w:rStyle w:val="Nagwek33"/>
          <w:rFonts w:asciiTheme="minorHAnsi" w:hAnsiTheme="minorHAnsi"/>
          <w:b/>
          <w:sz w:val="22"/>
          <w:szCs w:val="22"/>
        </w:rPr>
        <w:t>3.6 Skonsolidowana ocena i końcowa punktacja</w:t>
      </w:r>
      <w:bookmarkEnd w:id="19"/>
    </w:p>
    <w:p w:rsidR="009D008C" w:rsidRPr="000D5EB5" w:rsidRDefault="009D008C" w:rsidP="00C371FE">
      <w:pPr>
        <w:pStyle w:val="Teksttreci1"/>
        <w:spacing w:before="120" w:after="120" w:line="275" w:lineRule="exact"/>
        <w:ind w:left="20" w:right="20"/>
        <w:rPr>
          <w:rFonts w:asciiTheme="minorHAnsi" w:hAnsiTheme="minorHAnsi" w:cs="Microsoft Sans Serif"/>
          <w:sz w:val="22"/>
          <w:szCs w:val="22"/>
        </w:rPr>
      </w:pPr>
      <w:r w:rsidRPr="000D5EB5">
        <w:rPr>
          <w:rFonts w:asciiTheme="minorHAnsi" w:hAnsiTheme="minorHAnsi"/>
          <w:sz w:val="22"/>
          <w:szCs w:val="22"/>
        </w:rPr>
        <w:t>W przypadku, gdy wniosek oceniany jest tylko przez jednego eksperta, jego  ocena stanowi końcową ocenę merytoryczną i punktową .</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W przypadku wniosków ocenianych przez dwóch ekspertów, dwie niezależne oceny zostaną skonsolidowane aby przedstawić wnioskodawcy końcową ocenę punktową i komentarz do wniosku. Punktacja końcowa może zawierać wartości dziesiętne. Konsolidacja</w:t>
      </w:r>
      <w:r w:rsidR="00911E55">
        <w:rPr>
          <w:rFonts w:asciiTheme="minorHAnsi" w:hAnsiTheme="minorHAnsi"/>
          <w:sz w:val="22"/>
          <w:szCs w:val="22"/>
        </w:rPr>
        <w:t xml:space="preserve"> ocen</w:t>
      </w:r>
      <w:r w:rsidRPr="000D5EB5">
        <w:rPr>
          <w:rFonts w:asciiTheme="minorHAnsi" w:hAnsiTheme="minorHAnsi"/>
          <w:sz w:val="22"/>
          <w:szCs w:val="22"/>
        </w:rPr>
        <w:t xml:space="preserve"> należy do obowiązków eksperta.</w:t>
      </w:r>
    </w:p>
    <w:p w:rsidR="009D008C" w:rsidRPr="000D5EB5"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Jeżeli różnica pomiędzy końcowymi ocenami dwóch ekspertów wyniesie mniej niż 30</w:t>
      </w:r>
      <w:r w:rsidR="00911E55">
        <w:rPr>
          <w:rFonts w:asciiTheme="minorHAnsi" w:hAnsiTheme="minorHAnsi"/>
          <w:sz w:val="22"/>
          <w:szCs w:val="22"/>
        </w:rPr>
        <w:t xml:space="preserve"> punktów</w:t>
      </w:r>
      <w:r w:rsidRPr="000D5EB5">
        <w:rPr>
          <w:rFonts w:asciiTheme="minorHAnsi" w:hAnsiTheme="minorHAnsi"/>
          <w:sz w:val="22"/>
          <w:szCs w:val="22"/>
        </w:rPr>
        <w:t>, jeden z dwóch oceniających ekspertów zostanie poproszony o przygotowanie skonsolidowanej oceny w oparciu o dwie przeprowadzone niezależne oceny i w porozumieniu z drugim ekspertem. Jeżeli obaj eksperci zgodzą się co do tego, że wymagana jest korekta budżetu</w:t>
      </w:r>
      <w:r w:rsidR="00911E55">
        <w:rPr>
          <w:rFonts w:asciiTheme="minorHAnsi" w:hAnsiTheme="minorHAnsi"/>
          <w:sz w:val="22"/>
          <w:szCs w:val="22"/>
        </w:rPr>
        <w:t>,</w:t>
      </w:r>
      <w:r w:rsidRPr="000D5EB5">
        <w:rPr>
          <w:rFonts w:asciiTheme="minorHAnsi" w:hAnsiTheme="minorHAnsi"/>
          <w:sz w:val="22"/>
          <w:szCs w:val="22"/>
        </w:rPr>
        <w:t xml:space="preserve"> skonsolidowana ocena będzie zawierać końcowe zalecenia dla N</w:t>
      </w:r>
      <w:r w:rsidR="00911E55">
        <w:rPr>
          <w:rFonts w:asciiTheme="minorHAnsi" w:hAnsiTheme="minorHAnsi"/>
          <w:sz w:val="22"/>
          <w:szCs w:val="22"/>
        </w:rPr>
        <w:t xml:space="preserve">arodowej </w:t>
      </w:r>
      <w:r w:rsidRPr="000D5EB5">
        <w:rPr>
          <w:rFonts w:asciiTheme="minorHAnsi" w:hAnsiTheme="minorHAnsi"/>
          <w:sz w:val="22"/>
          <w:szCs w:val="22"/>
        </w:rPr>
        <w:t>A</w:t>
      </w:r>
      <w:r w:rsidR="00911E55">
        <w:rPr>
          <w:rFonts w:asciiTheme="minorHAnsi" w:hAnsiTheme="minorHAnsi"/>
          <w:sz w:val="22"/>
          <w:szCs w:val="22"/>
        </w:rPr>
        <w:t>gencji</w:t>
      </w:r>
      <w:r w:rsidRPr="000D5EB5">
        <w:rPr>
          <w:rFonts w:asciiTheme="minorHAnsi" w:hAnsiTheme="minorHAnsi"/>
          <w:sz w:val="22"/>
          <w:szCs w:val="22"/>
        </w:rPr>
        <w:t xml:space="preserve"> dotyczące </w:t>
      </w:r>
      <w:r w:rsidR="00911E55">
        <w:rPr>
          <w:rFonts w:asciiTheme="minorHAnsi" w:hAnsiTheme="minorHAnsi"/>
          <w:sz w:val="22"/>
          <w:szCs w:val="22"/>
        </w:rPr>
        <w:t>rekomendowanej</w:t>
      </w:r>
      <w:r w:rsidRPr="000D5EB5">
        <w:rPr>
          <w:rFonts w:asciiTheme="minorHAnsi" w:hAnsiTheme="minorHAnsi"/>
          <w:sz w:val="22"/>
          <w:szCs w:val="22"/>
        </w:rPr>
        <w:t xml:space="preserve"> kwoty dofinansowania, jak</w:t>
      </w:r>
      <w:r w:rsidR="00911E55">
        <w:rPr>
          <w:rFonts w:asciiTheme="minorHAnsi" w:hAnsiTheme="minorHAnsi"/>
          <w:sz w:val="22"/>
          <w:szCs w:val="22"/>
        </w:rPr>
        <w:t>ą należy przyznać wnioskodawcy.</w:t>
      </w:r>
      <w:r w:rsidRPr="000D5EB5">
        <w:rPr>
          <w:rFonts w:asciiTheme="minorHAnsi" w:hAnsiTheme="minorHAnsi"/>
          <w:sz w:val="22"/>
          <w:szCs w:val="22"/>
        </w:rPr>
        <w:t xml:space="preserve"> W przypadku, gdy dwaj eksperci nie będą w stanie dojść do porozumienia nad skonsolidowaną oceną, Narodowa Agencja zadecyduje czy potrzebna jest dodatkowa ocena przeprowadzona przez trzeciego niezależnego eksperta.</w:t>
      </w:r>
    </w:p>
    <w:p w:rsidR="009D008C" w:rsidRPr="000D5EB5" w:rsidRDefault="009D008C" w:rsidP="00C371FE">
      <w:pPr>
        <w:pStyle w:val="Teksttreci1"/>
        <w:spacing w:before="120" w:after="120"/>
        <w:ind w:left="20" w:right="20"/>
        <w:rPr>
          <w:rFonts w:asciiTheme="minorHAnsi" w:hAnsiTheme="minorHAnsi"/>
          <w:sz w:val="22"/>
          <w:szCs w:val="22"/>
        </w:rPr>
      </w:pPr>
      <w:r w:rsidRPr="000D5EB5">
        <w:rPr>
          <w:rFonts w:asciiTheme="minorHAnsi" w:hAnsiTheme="minorHAnsi"/>
          <w:sz w:val="22"/>
          <w:szCs w:val="22"/>
        </w:rPr>
        <w:t>Jeżeli różnica pomiędzy końcowymi ocenami przyznanymi przez dwóch ekspertów wyniesie 30 i więcej punktów, Narodowa Agencja powoła trzeciego niezależnego eksperta do przeprowadzenia dodatkowej niezależnej oceny wniosku</w:t>
      </w:r>
      <w:r w:rsidRPr="000D5EB5">
        <w:rPr>
          <w:rStyle w:val="Odwoanieprzypisudolnego"/>
          <w:rFonts w:asciiTheme="minorHAnsi" w:hAnsiTheme="minorHAnsi"/>
          <w:sz w:val="22"/>
          <w:szCs w:val="22"/>
        </w:rPr>
        <w:footnoteReference w:id="9"/>
      </w:r>
      <w:r w:rsidRPr="000D5EB5">
        <w:rPr>
          <w:rFonts w:asciiTheme="minorHAnsi" w:hAnsiTheme="minorHAnsi"/>
          <w:sz w:val="22"/>
          <w:szCs w:val="22"/>
        </w:rPr>
        <w:t>.</w:t>
      </w:r>
      <w:r w:rsidR="00911E55">
        <w:rPr>
          <w:rFonts w:asciiTheme="minorHAnsi" w:hAnsiTheme="minorHAnsi"/>
          <w:sz w:val="22"/>
          <w:szCs w:val="22"/>
        </w:rPr>
        <w:t xml:space="preserve"> </w:t>
      </w:r>
      <w:r w:rsidRPr="000D5EB5">
        <w:rPr>
          <w:rFonts w:asciiTheme="minorHAnsi" w:hAnsiTheme="minorHAnsi"/>
          <w:sz w:val="22"/>
          <w:szCs w:val="22"/>
        </w:rPr>
        <w:t>W takim przypadku końcowa ocena zostanie określona na podstawie dwóch ocen, których punktac</w:t>
      </w:r>
      <w:r w:rsidR="00911E55">
        <w:rPr>
          <w:rFonts w:asciiTheme="minorHAnsi" w:hAnsiTheme="minorHAnsi"/>
          <w:sz w:val="22"/>
          <w:szCs w:val="22"/>
        </w:rPr>
        <w:t>ja jest najbliższa, a ocena punktowa, która</w:t>
      </w:r>
      <w:r w:rsidRPr="000D5EB5">
        <w:rPr>
          <w:rFonts w:asciiTheme="minorHAnsi" w:hAnsiTheme="minorHAnsi"/>
          <w:sz w:val="22"/>
          <w:szCs w:val="22"/>
        </w:rPr>
        <w:t xml:space="preserve"> najbardziej odbiega od pozostałych dwóch</w:t>
      </w:r>
      <w:r w:rsidR="00911E55">
        <w:rPr>
          <w:rFonts w:asciiTheme="minorHAnsi" w:hAnsiTheme="minorHAnsi"/>
          <w:sz w:val="22"/>
          <w:szCs w:val="22"/>
        </w:rPr>
        <w:t>,</w:t>
      </w:r>
      <w:r w:rsidRPr="000D5EB5">
        <w:rPr>
          <w:rFonts w:asciiTheme="minorHAnsi" w:hAnsiTheme="minorHAnsi"/>
          <w:sz w:val="22"/>
          <w:szCs w:val="22"/>
        </w:rPr>
        <w:t xml:space="preserve"> nie zostanie wzięta pod uwagę przy formułowaniu skonsolidowanej punktacji. W tym wypadku konsolidacja niezależnych ocen  przebie</w:t>
      </w:r>
      <w:r w:rsidR="00911E55">
        <w:rPr>
          <w:rFonts w:asciiTheme="minorHAnsi" w:hAnsiTheme="minorHAnsi"/>
          <w:sz w:val="22"/>
          <w:szCs w:val="22"/>
        </w:rPr>
        <w:t>ga na tych samych zasadach co</w:t>
      </w:r>
      <w:r w:rsidRPr="000D5EB5">
        <w:rPr>
          <w:rFonts w:asciiTheme="minorHAnsi" w:hAnsiTheme="minorHAnsi"/>
          <w:sz w:val="22"/>
          <w:szCs w:val="22"/>
        </w:rPr>
        <w:t xml:space="preserve"> przedstawione powyżej. </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sz w:val="22"/>
          <w:szCs w:val="22"/>
        </w:rPr>
        <w:t>Skonsolidowana ocena  stanowi końcową ocenę wniosku. Oznacza to, że w przypadku wniosków o dofinansowanie skonsolid</w:t>
      </w:r>
      <w:r w:rsidR="00911E55">
        <w:rPr>
          <w:rFonts w:asciiTheme="minorHAnsi" w:hAnsiTheme="minorHAnsi"/>
          <w:sz w:val="22"/>
          <w:szCs w:val="22"/>
        </w:rPr>
        <w:t>owana ocena stanowi podstawę do</w:t>
      </w:r>
      <w:r w:rsidRPr="000D5EB5">
        <w:rPr>
          <w:rFonts w:asciiTheme="minorHAnsi" w:hAnsiTheme="minorHAnsi"/>
          <w:sz w:val="22"/>
          <w:szCs w:val="22"/>
        </w:rPr>
        <w:t xml:space="preserve"> umieszczenia wniosku na liście rankingowej, a w przypadku wniosków o akredytację decyduje o tym, czy wnioskodawca uzyska akredytację czy też nie.</w:t>
      </w:r>
    </w:p>
    <w:p w:rsidR="009D008C" w:rsidRPr="000D5EB5" w:rsidRDefault="009D008C" w:rsidP="00C371FE">
      <w:pPr>
        <w:pStyle w:val="Teksttreci1"/>
        <w:spacing w:before="120" w:after="120"/>
        <w:ind w:left="20" w:right="20"/>
        <w:rPr>
          <w:rFonts w:asciiTheme="minorHAnsi" w:hAnsiTheme="minorHAnsi" w:cs="Microsoft Sans Serif"/>
          <w:sz w:val="22"/>
          <w:szCs w:val="22"/>
        </w:rPr>
      </w:pPr>
    </w:p>
    <w:p w:rsidR="009D008C" w:rsidRDefault="009D008C" w:rsidP="00C371FE">
      <w:pPr>
        <w:pStyle w:val="Teksttreci1"/>
        <w:spacing w:before="120" w:after="120"/>
        <w:ind w:left="20" w:right="20"/>
        <w:rPr>
          <w:rFonts w:asciiTheme="minorHAnsi" w:hAnsiTheme="minorHAnsi" w:cs="Microsoft Sans Serif"/>
          <w:sz w:val="22"/>
          <w:szCs w:val="22"/>
        </w:rPr>
      </w:pPr>
    </w:p>
    <w:p w:rsidR="00C371FE" w:rsidRDefault="00C371FE" w:rsidP="00C371FE">
      <w:pPr>
        <w:pStyle w:val="Teksttreci1"/>
        <w:spacing w:before="120" w:after="120"/>
        <w:ind w:left="20" w:right="20"/>
        <w:rPr>
          <w:rFonts w:asciiTheme="minorHAnsi" w:hAnsiTheme="minorHAnsi" w:cs="Microsoft Sans Serif"/>
          <w:sz w:val="22"/>
          <w:szCs w:val="22"/>
        </w:rPr>
      </w:pPr>
    </w:p>
    <w:p w:rsidR="00C371FE" w:rsidRPr="000D5EB5" w:rsidRDefault="00C371FE" w:rsidP="00C371FE">
      <w:pPr>
        <w:pStyle w:val="Teksttreci1"/>
        <w:spacing w:before="120" w:after="120"/>
        <w:ind w:left="20" w:right="20"/>
        <w:rPr>
          <w:rFonts w:asciiTheme="minorHAnsi" w:hAnsiTheme="minorHAnsi" w:cs="Microsoft Sans Serif"/>
          <w:sz w:val="22"/>
          <w:szCs w:val="22"/>
        </w:rPr>
      </w:pPr>
    </w:p>
    <w:p w:rsidR="009D008C" w:rsidRPr="00C371FE" w:rsidRDefault="009D008C" w:rsidP="00C371FE">
      <w:pPr>
        <w:pStyle w:val="Teksttreci1"/>
        <w:spacing w:before="120" w:after="120"/>
        <w:ind w:left="20" w:right="20"/>
        <w:rPr>
          <w:rFonts w:asciiTheme="minorHAnsi" w:hAnsiTheme="minorHAnsi" w:cs="Microsoft Sans Serif"/>
          <w:b/>
          <w:sz w:val="28"/>
          <w:szCs w:val="28"/>
        </w:rPr>
      </w:pPr>
      <w:r w:rsidRPr="000D5EB5">
        <w:rPr>
          <w:rFonts w:asciiTheme="minorHAnsi" w:hAnsiTheme="minorHAnsi" w:cs="Microsoft Sans Serif"/>
          <w:b/>
          <w:sz w:val="28"/>
          <w:szCs w:val="28"/>
        </w:rPr>
        <w:lastRenderedPageBreak/>
        <w:t>4. Informacje zwrotne dla wnioskodawców</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cs="Microsoft Sans Serif"/>
          <w:sz w:val="22"/>
          <w:szCs w:val="22"/>
        </w:rPr>
        <w:t>Jak wyjaśniono w Przewodniku po programie, bezpośrednio po podjęciu decyzji o przyznaniu dofinansowania Narodowa Agencja zawiadomi wnioskodawców na piśmie o wynikach selekcji oraz przekaże informacje</w:t>
      </w:r>
      <w:r w:rsidR="00E90C04">
        <w:rPr>
          <w:rFonts w:asciiTheme="minorHAnsi" w:hAnsiTheme="minorHAnsi" w:cs="Microsoft Sans Serif"/>
          <w:sz w:val="22"/>
          <w:szCs w:val="22"/>
        </w:rPr>
        <w:t xml:space="preserve"> zwrotne</w:t>
      </w:r>
      <w:r w:rsidRPr="000D5EB5">
        <w:rPr>
          <w:rFonts w:asciiTheme="minorHAnsi" w:hAnsiTheme="minorHAnsi" w:cs="Microsoft Sans Serif"/>
          <w:sz w:val="22"/>
          <w:szCs w:val="22"/>
        </w:rPr>
        <w:t xml:space="preserve"> n</w:t>
      </w:r>
      <w:r w:rsidR="00E90C04">
        <w:rPr>
          <w:rFonts w:asciiTheme="minorHAnsi" w:hAnsiTheme="minorHAnsi" w:cs="Microsoft Sans Serif"/>
          <w:sz w:val="22"/>
          <w:szCs w:val="22"/>
        </w:rPr>
        <w:t xml:space="preserve">a </w:t>
      </w:r>
      <w:r w:rsidRPr="000D5EB5">
        <w:rPr>
          <w:rFonts w:asciiTheme="minorHAnsi" w:hAnsiTheme="minorHAnsi" w:cs="Microsoft Sans Serif"/>
          <w:sz w:val="22"/>
          <w:szCs w:val="22"/>
        </w:rPr>
        <w:t>t</w:t>
      </w:r>
      <w:r w:rsidR="00E90C04">
        <w:rPr>
          <w:rFonts w:asciiTheme="minorHAnsi" w:hAnsiTheme="minorHAnsi" w:cs="Microsoft Sans Serif"/>
          <w:sz w:val="22"/>
          <w:szCs w:val="22"/>
        </w:rPr>
        <w:t>emat</w:t>
      </w:r>
      <w:r w:rsidRPr="000D5EB5">
        <w:rPr>
          <w:rFonts w:asciiTheme="minorHAnsi" w:hAnsiTheme="minorHAnsi" w:cs="Microsoft Sans Serif"/>
          <w:sz w:val="22"/>
          <w:szCs w:val="22"/>
        </w:rPr>
        <w:t xml:space="preserve"> </w:t>
      </w:r>
      <w:r w:rsidR="00E90C04">
        <w:rPr>
          <w:rFonts w:asciiTheme="minorHAnsi" w:hAnsiTheme="minorHAnsi" w:cs="Microsoft Sans Serif"/>
          <w:sz w:val="22"/>
          <w:szCs w:val="22"/>
        </w:rPr>
        <w:t>wniosku wraz z końcową oceną punktową jaką uzyskał. To samo dotyczy wniosków o akredytację.</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cs="Microsoft Sans Serif"/>
          <w:sz w:val="22"/>
          <w:szCs w:val="22"/>
        </w:rPr>
        <w:t>Wnioskodawcy otrzymają</w:t>
      </w:r>
      <w:r w:rsidR="00E90C04">
        <w:rPr>
          <w:rFonts w:asciiTheme="minorHAnsi" w:hAnsiTheme="minorHAnsi" w:cs="Microsoft Sans Serif"/>
          <w:sz w:val="22"/>
          <w:szCs w:val="22"/>
        </w:rPr>
        <w:t xml:space="preserve"> jedynie</w:t>
      </w:r>
      <w:r w:rsidRPr="000D5EB5">
        <w:rPr>
          <w:rFonts w:asciiTheme="minorHAnsi" w:hAnsiTheme="minorHAnsi" w:cs="Microsoft Sans Serif"/>
          <w:sz w:val="22"/>
          <w:szCs w:val="22"/>
        </w:rPr>
        <w:t xml:space="preserve"> informacje </w:t>
      </w:r>
      <w:r w:rsidR="00E90C04">
        <w:rPr>
          <w:rFonts w:asciiTheme="minorHAnsi" w:hAnsiTheme="minorHAnsi" w:cs="Microsoft Sans Serif"/>
          <w:sz w:val="22"/>
          <w:szCs w:val="22"/>
        </w:rPr>
        <w:t>na temat</w:t>
      </w:r>
      <w:r w:rsidRPr="000D5EB5">
        <w:rPr>
          <w:rFonts w:asciiTheme="minorHAnsi" w:hAnsiTheme="minorHAnsi" w:cs="Microsoft Sans Serif"/>
          <w:sz w:val="22"/>
          <w:szCs w:val="22"/>
        </w:rPr>
        <w:t xml:space="preserve"> </w:t>
      </w:r>
      <w:r w:rsidR="00E90C04" w:rsidRPr="000D5EB5">
        <w:rPr>
          <w:rFonts w:asciiTheme="minorHAnsi" w:hAnsiTheme="minorHAnsi" w:cs="Microsoft Sans Serif"/>
          <w:sz w:val="22"/>
          <w:szCs w:val="22"/>
        </w:rPr>
        <w:t xml:space="preserve">końcowej </w:t>
      </w:r>
      <w:r w:rsidRPr="000D5EB5">
        <w:rPr>
          <w:rFonts w:asciiTheme="minorHAnsi" w:hAnsiTheme="minorHAnsi" w:cs="Microsoft Sans Serif"/>
          <w:sz w:val="22"/>
          <w:szCs w:val="22"/>
        </w:rPr>
        <w:t>skonsolidowanej oceny punktowej i komentarze do niej.</w:t>
      </w:r>
    </w:p>
    <w:p w:rsidR="009D008C" w:rsidRPr="000D5EB5" w:rsidRDefault="009D008C" w:rsidP="00C371FE">
      <w:pPr>
        <w:pStyle w:val="Teksttreci1"/>
        <w:spacing w:before="120" w:after="120"/>
        <w:ind w:left="20" w:right="20"/>
        <w:rPr>
          <w:rFonts w:asciiTheme="minorHAnsi" w:hAnsiTheme="minorHAnsi" w:cs="Microsoft Sans Serif"/>
          <w:sz w:val="22"/>
          <w:szCs w:val="22"/>
        </w:rPr>
      </w:pPr>
      <w:r w:rsidRPr="000D5EB5">
        <w:rPr>
          <w:rFonts w:asciiTheme="minorHAnsi" w:hAnsiTheme="minorHAnsi" w:cs="Microsoft Sans Serif"/>
          <w:sz w:val="22"/>
          <w:szCs w:val="22"/>
        </w:rPr>
        <w:t>Jeżeli wnioskodawca będzie wnioskować o podanie dalszych informacji lub odwoła się od decyzji selekcyjnej, Narodowa Agencja, w miarę konieczności, może zwrócić się do eksperta przeprowadzającego ocenę z prośbą o przekazanie dalszych szczegółów n</w:t>
      </w:r>
      <w:r w:rsidR="00E90C04">
        <w:rPr>
          <w:rFonts w:asciiTheme="minorHAnsi" w:hAnsiTheme="minorHAnsi" w:cs="Microsoft Sans Serif"/>
          <w:sz w:val="22"/>
          <w:szCs w:val="22"/>
        </w:rPr>
        <w:t>a jej temat</w:t>
      </w:r>
      <w:r w:rsidRPr="000D5EB5">
        <w:rPr>
          <w:rFonts w:asciiTheme="minorHAnsi" w:hAnsiTheme="minorHAnsi" w:cs="Microsoft Sans Serif"/>
          <w:sz w:val="22"/>
          <w:szCs w:val="22"/>
        </w:rPr>
        <w:t>.</w:t>
      </w:r>
    </w:p>
    <w:p w:rsidR="009D008C" w:rsidRPr="000D5EB5" w:rsidRDefault="009D008C" w:rsidP="00C371FE">
      <w:pPr>
        <w:pStyle w:val="Teksttreci1"/>
        <w:spacing w:before="120" w:after="120"/>
        <w:ind w:right="20"/>
        <w:rPr>
          <w:rFonts w:asciiTheme="minorHAnsi" w:hAnsiTheme="minorHAnsi" w:cs="Microsoft Sans Serif"/>
          <w:sz w:val="22"/>
          <w:szCs w:val="22"/>
        </w:rPr>
      </w:pPr>
    </w:p>
    <w:p w:rsidR="00B663EA" w:rsidRDefault="00B663EA" w:rsidP="00C371FE">
      <w:pPr>
        <w:spacing w:before="120" w:after="120" w:line="276" w:lineRule="auto"/>
        <w:rPr>
          <w:lang w:val="pl-PL"/>
        </w:rPr>
        <w:sectPr w:rsidR="00B663EA" w:rsidSect="00DE6ED4">
          <w:pgSz w:w="11906" w:h="16838"/>
          <w:pgMar w:top="1417" w:right="1417" w:bottom="1417" w:left="1417" w:header="708" w:footer="708" w:gutter="0"/>
          <w:cols w:space="708"/>
          <w:docGrid w:linePitch="360"/>
        </w:sectPr>
      </w:pPr>
      <w:r>
        <w:rPr>
          <w:lang w:val="pl-PL"/>
        </w:rPr>
        <w:br w:type="page"/>
      </w:r>
    </w:p>
    <w:p w:rsidR="00B663EA" w:rsidRPr="006E0B56" w:rsidRDefault="00B663EA" w:rsidP="00C371FE">
      <w:pPr>
        <w:pStyle w:val="Nagwek31"/>
        <w:spacing w:before="120" w:after="120" w:line="547" w:lineRule="exact"/>
        <w:ind w:right="620"/>
        <w:rPr>
          <w:rFonts w:asciiTheme="minorHAnsi" w:hAnsiTheme="minorHAnsi" w:cs="Microsoft Sans Serif"/>
          <w:sz w:val="22"/>
          <w:szCs w:val="22"/>
        </w:rPr>
      </w:pPr>
      <w:r w:rsidRPr="006E0B56">
        <w:rPr>
          <w:rStyle w:val="Nagwek33"/>
          <w:rFonts w:asciiTheme="minorHAnsi" w:hAnsiTheme="minorHAnsi"/>
          <w:b/>
          <w:sz w:val="24"/>
          <w:szCs w:val="24"/>
        </w:rPr>
        <w:lastRenderedPageBreak/>
        <w:t xml:space="preserve">Załącznik 2.B Projekty mobilności edukacyjnej dla </w:t>
      </w:r>
      <w:r w:rsidRPr="006E0B56">
        <w:rPr>
          <w:rFonts w:asciiTheme="minorHAnsi" w:hAnsiTheme="minorHAnsi"/>
          <w:sz w:val="24"/>
          <w:szCs w:val="24"/>
        </w:rPr>
        <w:t xml:space="preserve">osób uczących się i kadry w ramach kształcenia </w:t>
      </w:r>
      <w:r w:rsidR="006E0B56">
        <w:rPr>
          <w:rFonts w:asciiTheme="minorHAnsi" w:hAnsiTheme="minorHAnsi"/>
          <w:sz w:val="24"/>
          <w:szCs w:val="24"/>
        </w:rPr>
        <w:t xml:space="preserve">i </w:t>
      </w:r>
      <w:proofErr w:type="spellStart"/>
      <w:r w:rsidR="006E0B56">
        <w:rPr>
          <w:rFonts w:asciiTheme="minorHAnsi" w:hAnsiTheme="minorHAnsi"/>
          <w:sz w:val="24"/>
          <w:szCs w:val="24"/>
        </w:rPr>
        <w:t>s</w:t>
      </w:r>
      <w:r w:rsidRPr="006E0B56">
        <w:rPr>
          <w:rFonts w:asciiTheme="minorHAnsi" w:hAnsiTheme="minorHAnsi"/>
          <w:sz w:val="24"/>
          <w:szCs w:val="24"/>
        </w:rPr>
        <w:t>zkolenia</w:t>
      </w:r>
      <w:proofErr w:type="spellEnd"/>
      <w:r w:rsidRPr="006E0B56">
        <w:rPr>
          <w:rFonts w:asciiTheme="minorHAnsi" w:hAnsiTheme="minorHAnsi"/>
          <w:sz w:val="24"/>
          <w:szCs w:val="24"/>
        </w:rPr>
        <w:t xml:space="preserve"> zawodowego</w:t>
      </w:r>
      <w:r w:rsidRPr="006E0B56">
        <w:rPr>
          <w:rStyle w:val="Nagwek32"/>
          <w:rFonts w:asciiTheme="minorHAnsi" w:hAnsiTheme="minorHAnsi"/>
          <w:b/>
          <w:sz w:val="24"/>
          <w:szCs w:val="24"/>
        </w:rPr>
        <w:br/>
      </w:r>
      <w:r w:rsidRPr="006E0B56">
        <w:rPr>
          <w:rFonts w:asciiTheme="minorHAnsi" w:hAnsiTheme="minorHAnsi"/>
          <w:sz w:val="22"/>
          <w:szCs w:val="22"/>
        </w:rPr>
        <w:t>PROPORCJONALNOŚĆ</w:t>
      </w:r>
    </w:p>
    <w:p w:rsidR="00B663EA" w:rsidRPr="006E0B56" w:rsidRDefault="00B663EA" w:rsidP="00C371FE">
      <w:pPr>
        <w:pStyle w:val="Nagwek41"/>
        <w:spacing w:before="120" w:after="120" w:line="243" w:lineRule="exact"/>
        <w:ind w:right="620"/>
        <w:jc w:val="both"/>
        <w:rPr>
          <w:rFonts w:asciiTheme="minorHAnsi" w:hAnsiTheme="minorHAnsi" w:cs="Microsoft Sans Serif"/>
          <w:sz w:val="22"/>
          <w:szCs w:val="22"/>
        </w:rPr>
      </w:pPr>
      <w:r w:rsidRPr="006E0B56">
        <w:rPr>
          <w:rFonts w:asciiTheme="minorHAnsi" w:hAnsiTheme="minorHAnsi"/>
          <w:sz w:val="22"/>
          <w:szCs w:val="22"/>
        </w:rPr>
        <w:t xml:space="preserve">Aby zapewnić sprawiedliwą ocenę wszystkich wniosków, eksperci powinni uwzględnić skalę przedłożonych </w:t>
      </w:r>
      <w:r w:rsidR="006E0B56">
        <w:rPr>
          <w:rFonts w:asciiTheme="minorHAnsi" w:hAnsiTheme="minorHAnsi"/>
          <w:sz w:val="22"/>
          <w:szCs w:val="22"/>
        </w:rPr>
        <w:t>wniosków</w:t>
      </w:r>
      <w:r w:rsidRPr="006E0B56">
        <w:rPr>
          <w:rFonts w:asciiTheme="minorHAnsi" w:hAnsiTheme="minorHAnsi"/>
          <w:sz w:val="22"/>
          <w:szCs w:val="22"/>
        </w:rPr>
        <w:t>, a także  doświadczenie i potencjał uczestniczących instytucji. Jakość każdego wniosku powinna zostać oceniona w odniesieniu do wszystkich kryteriów oceny z uwzględnieniem zasady proporcjonalności.</w:t>
      </w:r>
    </w:p>
    <w:p w:rsidR="00B663EA" w:rsidRPr="006E0B56" w:rsidRDefault="00B663EA" w:rsidP="00C371FE">
      <w:pPr>
        <w:pStyle w:val="Teksttreci181"/>
        <w:spacing w:before="120" w:after="120"/>
        <w:ind w:left="993" w:right="100" w:hanging="993"/>
        <w:rPr>
          <w:rFonts w:asciiTheme="minorHAnsi" w:hAnsiTheme="minorHAnsi" w:cs="Microsoft Sans Serif"/>
          <w:sz w:val="22"/>
          <w:szCs w:val="22"/>
        </w:rPr>
      </w:pPr>
      <w:r w:rsidRPr="006E0B56">
        <w:rPr>
          <w:rFonts w:asciiTheme="minorHAnsi" w:hAnsiTheme="minorHAnsi"/>
          <w:sz w:val="22"/>
          <w:szCs w:val="22"/>
        </w:rPr>
        <w:t xml:space="preserve">UWAGA:  Prosimy zauważyć, że w pierwszych dwóch kolumnach wyszczególniono kryteria i </w:t>
      </w:r>
      <w:proofErr w:type="spellStart"/>
      <w:r w:rsidRPr="006E0B56">
        <w:rPr>
          <w:rFonts w:asciiTheme="minorHAnsi" w:hAnsiTheme="minorHAnsi"/>
          <w:sz w:val="22"/>
          <w:szCs w:val="22"/>
        </w:rPr>
        <w:t>podkryteria</w:t>
      </w:r>
      <w:proofErr w:type="spellEnd"/>
      <w:r w:rsidRPr="006E0B56">
        <w:rPr>
          <w:rFonts w:asciiTheme="minorHAnsi" w:hAnsiTheme="minorHAnsi"/>
          <w:sz w:val="22"/>
          <w:szCs w:val="22"/>
        </w:rPr>
        <w:t xml:space="preserve"> </w:t>
      </w:r>
      <w:r w:rsidR="004D0F57" w:rsidRPr="006E0B56">
        <w:rPr>
          <w:rFonts w:asciiTheme="minorHAnsi" w:hAnsiTheme="minorHAnsi"/>
          <w:sz w:val="22"/>
          <w:szCs w:val="22"/>
        </w:rPr>
        <w:t>oceny</w:t>
      </w:r>
      <w:r w:rsidR="004D0F57">
        <w:rPr>
          <w:rFonts w:asciiTheme="minorHAnsi" w:hAnsiTheme="minorHAnsi"/>
          <w:sz w:val="22"/>
          <w:szCs w:val="22"/>
        </w:rPr>
        <w:t xml:space="preserve"> </w:t>
      </w:r>
      <w:r w:rsidR="006E0B56">
        <w:rPr>
          <w:rFonts w:asciiTheme="minorHAnsi" w:hAnsiTheme="minorHAnsi"/>
          <w:sz w:val="22"/>
          <w:szCs w:val="22"/>
        </w:rPr>
        <w:t xml:space="preserve">(elementy analizy) </w:t>
      </w:r>
      <w:r w:rsidRPr="006E0B56">
        <w:rPr>
          <w:rFonts w:asciiTheme="minorHAnsi" w:hAnsiTheme="minorHAnsi"/>
          <w:sz w:val="22"/>
          <w:szCs w:val="22"/>
        </w:rPr>
        <w:t xml:space="preserve">przedstawione w Przewodniku po programie Erasmus+, natomiast w kolumnie po prawej stronie zamieszczono dalsze objaśnienia dotyczące oceny poszczególnych kryteriów i </w:t>
      </w:r>
      <w:proofErr w:type="spellStart"/>
      <w:r w:rsidRPr="006E0B56">
        <w:rPr>
          <w:rFonts w:asciiTheme="minorHAnsi" w:hAnsiTheme="minorHAnsi"/>
          <w:sz w:val="22"/>
          <w:szCs w:val="22"/>
        </w:rPr>
        <w:t>podkryteriów</w:t>
      </w:r>
      <w:proofErr w:type="spellEnd"/>
      <w:r w:rsidRPr="006E0B56">
        <w:rPr>
          <w:rFonts w:asciiTheme="minorHAnsi" w:hAnsiTheme="minorHAnsi"/>
          <w:sz w:val="22"/>
          <w:szCs w:val="22"/>
        </w:rPr>
        <w:t xml:space="preserve"> . </w:t>
      </w:r>
      <w:r w:rsidR="004D0F57">
        <w:rPr>
          <w:rFonts w:asciiTheme="minorHAnsi" w:hAnsiTheme="minorHAnsi"/>
          <w:sz w:val="22"/>
          <w:szCs w:val="22"/>
        </w:rPr>
        <w:t>Podano tylko te objaśnienia, które mają odniesienie do właściwych</w:t>
      </w:r>
      <w:r w:rsidRPr="006E0B56">
        <w:rPr>
          <w:rFonts w:asciiTheme="minorHAnsi" w:hAnsiTheme="minorHAnsi"/>
          <w:sz w:val="22"/>
          <w:szCs w:val="22"/>
        </w:rPr>
        <w:t xml:space="preserve"> </w:t>
      </w:r>
      <w:proofErr w:type="spellStart"/>
      <w:r w:rsidRPr="006E0B56">
        <w:rPr>
          <w:rFonts w:asciiTheme="minorHAnsi" w:hAnsiTheme="minorHAnsi"/>
          <w:sz w:val="22"/>
          <w:szCs w:val="22"/>
        </w:rPr>
        <w:t>podkryteriów</w:t>
      </w:r>
      <w:proofErr w:type="spellEnd"/>
      <w:r w:rsidRPr="006E0B56">
        <w:rPr>
          <w:rFonts w:asciiTheme="minorHAnsi" w:hAnsiTheme="minorHAnsi"/>
          <w:sz w:val="22"/>
          <w:szCs w:val="22"/>
        </w:rPr>
        <w:t xml:space="preserve"> .</w:t>
      </w:r>
    </w:p>
    <w:tbl>
      <w:tblPr>
        <w:tblStyle w:val="Tabela-Siatka"/>
        <w:tblW w:w="0" w:type="auto"/>
        <w:tblLook w:val="04A0"/>
      </w:tblPr>
      <w:tblGrid>
        <w:gridCol w:w="2376"/>
        <w:gridCol w:w="2977"/>
        <w:gridCol w:w="8791"/>
      </w:tblGrid>
      <w:tr w:rsidR="00B663EA" w:rsidRPr="002A1F42" w:rsidTr="004D0F57">
        <w:trPr>
          <w:tblHeader/>
        </w:trPr>
        <w:tc>
          <w:tcPr>
            <w:tcW w:w="2376" w:type="dxa"/>
          </w:tcPr>
          <w:p w:rsidR="00B663EA" w:rsidRPr="006E0B56" w:rsidRDefault="00B663EA" w:rsidP="00C371FE">
            <w:pPr>
              <w:pStyle w:val="Teksttreci121"/>
              <w:shd w:val="clear" w:color="auto" w:fill="auto"/>
              <w:spacing w:before="120" w:after="120" w:line="240" w:lineRule="auto"/>
              <w:ind w:left="120"/>
              <w:rPr>
                <w:rFonts w:asciiTheme="minorHAnsi" w:hAnsiTheme="minorHAnsi" w:cs="Microsoft Sans Serif"/>
                <w:sz w:val="22"/>
                <w:szCs w:val="22"/>
              </w:rPr>
            </w:pPr>
            <w:r w:rsidRPr="006E0B56">
              <w:rPr>
                <w:rFonts w:asciiTheme="minorHAnsi" w:hAnsiTheme="minorHAnsi"/>
                <w:sz w:val="22"/>
                <w:szCs w:val="22"/>
                <w:lang w:eastAsia="en-US"/>
              </w:rPr>
              <w:t xml:space="preserve">KRYTERIA OCENY </w:t>
            </w:r>
          </w:p>
        </w:tc>
        <w:tc>
          <w:tcPr>
            <w:tcW w:w="2977" w:type="dxa"/>
          </w:tcPr>
          <w:p w:rsidR="00B663EA" w:rsidRPr="006E0B56" w:rsidRDefault="00B663EA" w:rsidP="00C371FE">
            <w:pPr>
              <w:pStyle w:val="Teksttreci121"/>
              <w:shd w:val="clear" w:color="auto" w:fill="auto"/>
              <w:spacing w:before="120" w:after="120" w:line="240" w:lineRule="auto"/>
              <w:jc w:val="center"/>
              <w:rPr>
                <w:rFonts w:asciiTheme="minorHAnsi" w:hAnsiTheme="minorHAnsi" w:cs="Microsoft Sans Serif"/>
                <w:sz w:val="22"/>
                <w:szCs w:val="22"/>
              </w:rPr>
            </w:pPr>
            <w:proofErr w:type="spellStart"/>
            <w:r w:rsidRPr="006E0B56">
              <w:rPr>
                <w:rFonts w:asciiTheme="minorHAnsi" w:hAnsiTheme="minorHAnsi"/>
                <w:sz w:val="22"/>
                <w:szCs w:val="22"/>
                <w:lang w:eastAsia="en-US"/>
              </w:rPr>
              <w:t>Podkryteria</w:t>
            </w:r>
            <w:proofErr w:type="spellEnd"/>
          </w:p>
        </w:tc>
        <w:tc>
          <w:tcPr>
            <w:tcW w:w="8791" w:type="dxa"/>
          </w:tcPr>
          <w:p w:rsidR="00B663EA" w:rsidRPr="006E0B56" w:rsidRDefault="00B663EA" w:rsidP="00C371FE">
            <w:pPr>
              <w:pStyle w:val="Teksttreci121"/>
              <w:shd w:val="clear" w:color="auto" w:fill="auto"/>
              <w:spacing w:before="120" w:after="120" w:line="240" w:lineRule="auto"/>
              <w:ind w:left="120"/>
              <w:rPr>
                <w:rFonts w:asciiTheme="minorHAnsi" w:hAnsiTheme="minorHAnsi" w:cs="Microsoft Sans Serif"/>
                <w:sz w:val="22"/>
                <w:szCs w:val="22"/>
              </w:rPr>
            </w:pPr>
            <w:r w:rsidRPr="006E0B56">
              <w:rPr>
                <w:rFonts w:asciiTheme="minorHAnsi" w:hAnsiTheme="minorHAnsi"/>
                <w:sz w:val="22"/>
                <w:szCs w:val="22"/>
                <w:lang w:eastAsia="en-US"/>
              </w:rPr>
              <w:t xml:space="preserve">Interpretacja kryteriów oceny w odniesieniu do kształcenia i </w:t>
            </w:r>
            <w:proofErr w:type="spellStart"/>
            <w:r w:rsidRPr="006E0B56">
              <w:rPr>
                <w:rFonts w:asciiTheme="minorHAnsi" w:hAnsiTheme="minorHAnsi"/>
                <w:sz w:val="22"/>
                <w:szCs w:val="22"/>
                <w:lang w:eastAsia="en-US"/>
              </w:rPr>
              <w:t>szkolenia</w:t>
            </w:r>
            <w:proofErr w:type="spellEnd"/>
            <w:r w:rsidRPr="006E0B56">
              <w:rPr>
                <w:rFonts w:asciiTheme="minorHAnsi" w:hAnsiTheme="minorHAnsi"/>
                <w:sz w:val="22"/>
                <w:szCs w:val="22"/>
                <w:lang w:eastAsia="en-US"/>
              </w:rPr>
              <w:t xml:space="preserve"> zawodowego (VET)</w:t>
            </w:r>
          </w:p>
        </w:tc>
      </w:tr>
      <w:tr w:rsidR="00DB0B5C" w:rsidRPr="002A1F42" w:rsidTr="004D0F57">
        <w:tc>
          <w:tcPr>
            <w:tcW w:w="2376" w:type="dxa"/>
            <w:vMerge w:val="restart"/>
          </w:tcPr>
          <w:p w:rsidR="00DB0B5C" w:rsidRPr="006E0B56" w:rsidRDefault="00DB0B5C" w:rsidP="00C371FE">
            <w:pPr>
              <w:pStyle w:val="Teksttreci171"/>
              <w:shd w:val="clear" w:color="auto" w:fill="auto"/>
              <w:spacing w:before="120" w:after="120"/>
              <w:rPr>
                <w:rFonts w:asciiTheme="minorHAnsi" w:hAnsiTheme="minorHAnsi" w:cs="Microsoft Sans Serif"/>
                <w:sz w:val="22"/>
                <w:szCs w:val="22"/>
              </w:rPr>
            </w:pPr>
            <w:r w:rsidRPr="006E0B56">
              <w:rPr>
                <w:rFonts w:asciiTheme="minorHAnsi" w:hAnsiTheme="minorHAnsi"/>
                <w:sz w:val="22"/>
                <w:szCs w:val="22"/>
                <w:lang w:eastAsia="en-US"/>
              </w:rPr>
              <w:t>Zgodność projektu</w:t>
            </w:r>
          </w:p>
          <w:p w:rsidR="00DB0B5C" w:rsidRPr="006E0B56" w:rsidRDefault="00DB0B5C" w:rsidP="00C371FE">
            <w:pPr>
              <w:pStyle w:val="Teksttreci171"/>
              <w:shd w:val="clear" w:color="auto" w:fill="auto"/>
              <w:spacing w:before="120" w:after="120"/>
              <w:rPr>
                <w:rFonts w:asciiTheme="minorHAnsi" w:hAnsiTheme="minorHAnsi" w:cs="Microsoft Sans Serif"/>
                <w:sz w:val="22"/>
                <w:szCs w:val="22"/>
              </w:rPr>
            </w:pPr>
            <w:r w:rsidRPr="006E0B56">
              <w:rPr>
                <w:rFonts w:asciiTheme="minorHAnsi" w:hAnsiTheme="minorHAnsi"/>
                <w:sz w:val="22"/>
                <w:szCs w:val="22"/>
                <w:lang w:eastAsia="en-US"/>
              </w:rPr>
              <w:t>(maksymalnie 30</w:t>
            </w:r>
            <w:r w:rsidRPr="006E0B56">
              <w:rPr>
                <w:rFonts w:asciiTheme="minorHAnsi" w:hAnsiTheme="minorHAnsi"/>
                <w:sz w:val="22"/>
                <w:szCs w:val="22"/>
                <w:lang w:eastAsia="en-US"/>
              </w:rPr>
              <w:br/>
              <w:t>punktów)</w:t>
            </w:r>
          </w:p>
        </w:tc>
        <w:tc>
          <w:tcPr>
            <w:tcW w:w="2977" w:type="dxa"/>
          </w:tcPr>
          <w:p w:rsidR="00DB0B5C" w:rsidRPr="006E0B56" w:rsidRDefault="00DB0B5C" w:rsidP="00C371FE">
            <w:pPr>
              <w:pStyle w:val="Teksttreci51"/>
              <w:numPr>
                <w:ilvl w:val="0"/>
                <w:numId w:val="11"/>
              </w:numPr>
              <w:shd w:val="clear" w:color="auto" w:fill="auto"/>
              <w:spacing w:before="120" w:after="120" w:line="243" w:lineRule="exact"/>
              <w:ind w:left="318" w:hanging="284"/>
              <w:rPr>
                <w:rFonts w:asciiTheme="minorHAnsi" w:hAnsiTheme="minorHAnsi" w:cs="Microsoft Sans Serif"/>
                <w:sz w:val="22"/>
                <w:szCs w:val="22"/>
              </w:rPr>
            </w:pPr>
            <w:r w:rsidRPr="006E0B56">
              <w:rPr>
                <w:rFonts w:asciiTheme="minorHAnsi" w:hAnsiTheme="minorHAnsi"/>
                <w:sz w:val="22"/>
                <w:szCs w:val="22"/>
                <w:lang w:eastAsia="en-US"/>
              </w:rPr>
              <w:t>Zgodność wniosku z:</w:t>
            </w:r>
            <w:r w:rsidRPr="006E0B56">
              <w:rPr>
                <w:rFonts w:asciiTheme="minorHAnsi" w:hAnsiTheme="minorHAnsi"/>
                <w:sz w:val="22"/>
                <w:szCs w:val="22"/>
                <w:lang w:eastAsia="en-US"/>
              </w:rPr>
              <w:br/>
            </w:r>
            <w:r w:rsidRPr="006E0B56">
              <w:rPr>
                <w:rFonts w:asciiTheme="minorHAnsi" w:hAnsiTheme="minorHAnsi"/>
                <w:sz w:val="22"/>
                <w:szCs w:val="22"/>
              </w:rPr>
              <w:t>- celami i priorytetami Akcji</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Wniosek jest zgodny z celami Akcji i priorytetami sektora, które określono w Części B Przewodnika po programie</w:t>
            </w:r>
            <w:r w:rsidR="00C6612C">
              <w:rPr>
                <w:rFonts w:asciiTheme="minorHAnsi" w:hAnsiTheme="minorHAnsi"/>
                <w:lang w:val="pl-PL"/>
              </w:rPr>
              <w:t xml:space="preserve"> Erasmus+</w:t>
            </w:r>
            <w:r w:rsidRPr="006E0B56">
              <w:rPr>
                <w:rFonts w:asciiTheme="minorHAnsi" w:hAnsiTheme="minorHAnsi"/>
                <w:lang w:val="pl-PL"/>
              </w:rPr>
              <w:t>.</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Wniosek jednoznacznie  dotyczy sektora kształcenia i </w:t>
            </w:r>
            <w:proofErr w:type="spellStart"/>
            <w:r w:rsidRPr="006E0B56">
              <w:rPr>
                <w:rFonts w:asciiTheme="minorHAnsi" w:hAnsiTheme="minorHAnsi"/>
                <w:lang w:val="pl-PL"/>
              </w:rPr>
              <w:t>szkolenia</w:t>
            </w:r>
            <w:proofErr w:type="spellEnd"/>
            <w:r w:rsidRPr="006E0B56">
              <w:rPr>
                <w:rFonts w:asciiTheme="minorHAnsi" w:hAnsiTheme="minorHAnsi"/>
                <w:lang w:val="pl-PL"/>
              </w:rPr>
              <w:t xml:space="preserve"> zawodowego (VET) i jest skierowany do grup(-y) docelowych(-e</w:t>
            </w:r>
            <w:r w:rsidR="00C6612C">
              <w:rPr>
                <w:rFonts w:asciiTheme="minorHAnsi" w:hAnsiTheme="minorHAnsi"/>
                <w:lang w:val="pl-PL"/>
              </w:rPr>
              <w:t>j) zgodnych z tą akcją, to jest</w:t>
            </w:r>
            <w:r w:rsidRPr="006E0B56">
              <w:rPr>
                <w:rFonts w:asciiTheme="minorHAnsi" w:hAnsiTheme="minorHAnsi"/>
                <w:lang w:val="pl-PL"/>
              </w:rPr>
              <w:t xml:space="preserve">  kadra i osoby uczące się w ramach kształcenia i </w:t>
            </w:r>
            <w:proofErr w:type="spellStart"/>
            <w:r w:rsidRPr="006E0B56">
              <w:rPr>
                <w:rFonts w:asciiTheme="minorHAnsi" w:hAnsiTheme="minorHAnsi"/>
                <w:lang w:val="pl-PL"/>
              </w:rPr>
              <w:t>szkolenia</w:t>
            </w:r>
            <w:proofErr w:type="spellEnd"/>
            <w:r w:rsidRPr="006E0B56">
              <w:rPr>
                <w:rFonts w:asciiTheme="minorHAnsi" w:hAnsiTheme="minorHAnsi"/>
                <w:lang w:val="pl-PL"/>
              </w:rPr>
              <w:t xml:space="preserve">  zawodowego </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potrzebami i celami uczestniczących instytucji i indywidualnych uczestników</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Wniosek identyfikuje i koncentruje się na jasno określonych potrzebach i celach uczestniczących instytucji i indywidualnych uczestników z sektora VET.</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6E0B56" w:rsidRDefault="00DB0B5C" w:rsidP="00C371FE">
            <w:pPr>
              <w:pStyle w:val="Teksttreci51"/>
              <w:numPr>
                <w:ilvl w:val="0"/>
                <w:numId w:val="11"/>
              </w:numPr>
              <w:shd w:val="clear" w:color="auto" w:fill="auto"/>
              <w:tabs>
                <w:tab w:val="left" w:pos="466"/>
              </w:tabs>
              <w:spacing w:before="120" w:after="120" w:line="243" w:lineRule="exact"/>
              <w:ind w:left="318" w:hanging="284"/>
              <w:rPr>
                <w:rFonts w:asciiTheme="minorHAnsi" w:hAnsiTheme="minorHAnsi"/>
                <w:sz w:val="22"/>
                <w:szCs w:val="22"/>
              </w:rPr>
            </w:pPr>
            <w:r w:rsidRPr="006E0B56">
              <w:rPr>
                <w:rFonts w:asciiTheme="minorHAnsi" w:hAnsiTheme="minorHAnsi"/>
                <w:sz w:val="22"/>
                <w:szCs w:val="22"/>
                <w:lang w:eastAsia="en-US"/>
              </w:rPr>
              <w:t xml:space="preserve"> Zakres, w jakim wniosek zapewnia:</w:t>
            </w:r>
          </w:p>
          <w:p w:rsidR="00DB0B5C" w:rsidRPr="006E0B56" w:rsidRDefault="00DB0B5C" w:rsidP="00C371FE">
            <w:pPr>
              <w:pStyle w:val="Teksttreci111"/>
              <w:shd w:val="clear" w:color="auto" w:fill="auto"/>
              <w:tabs>
                <w:tab w:val="left" w:pos="829"/>
              </w:tabs>
              <w:spacing w:before="120" w:after="120" w:line="243" w:lineRule="exact"/>
              <w:ind w:firstLine="0"/>
              <w:rPr>
                <w:rFonts w:asciiTheme="minorHAnsi" w:hAnsiTheme="minorHAnsi"/>
                <w:sz w:val="22"/>
                <w:szCs w:val="22"/>
              </w:rPr>
            </w:pPr>
            <w:r w:rsidRPr="006E0B56">
              <w:rPr>
                <w:rFonts w:asciiTheme="minorHAnsi" w:hAnsiTheme="minorHAnsi"/>
                <w:sz w:val="22"/>
                <w:szCs w:val="22"/>
                <w:lang w:eastAsia="en-US"/>
              </w:rPr>
              <w:t xml:space="preserve"> - osiągnięcie wysokiej jakości efektów uczenia się przez uczestników</w:t>
            </w:r>
          </w:p>
          <w:p w:rsidR="00DB0B5C" w:rsidRPr="006E0B56" w:rsidRDefault="00DB0B5C" w:rsidP="00C371FE">
            <w:pPr>
              <w:spacing w:before="120" w:after="120"/>
              <w:rPr>
                <w:rFonts w:asciiTheme="minorHAnsi" w:hAnsiTheme="minorHAnsi"/>
                <w:lang w:val="pl-PL"/>
              </w:rPr>
            </w:pPr>
          </w:p>
        </w:tc>
        <w:tc>
          <w:tcPr>
            <w:tcW w:w="8791" w:type="dxa"/>
          </w:tcPr>
          <w:p w:rsidR="00DB0B5C" w:rsidRPr="006E0B56" w:rsidRDefault="00DB0B5C" w:rsidP="00C371FE">
            <w:pPr>
              <w:spacing w:before="120" w:after="120"/>
              <w:rPr>
                <w:rFonts w:asciiTheme="minorHAnsi" w:hAnsiTheme="minorHAnsi"/>
                <w:lang w:val="pl-PL" w:eastAsia="en-US"/>
              </w:rPr>
            </w:pPr>
            <w:r w:rsidRPr="006E0B56">
              <w:rPr>
                <w:rFonts w:asciiTheme="minorHAnsi" w:hAnsiTheme="minorHAnsi"/>
                <w:lang w:val="pl-PL"/>
              </w:rPr>
              <w:t xml:space="preserve">Przewidywane </w:t>
            </w:r>
            <w:r w:rsidRPr="006E0B56">
              <w:rPr>
                <w:rFonts w:asciiTheme="minorHAnsi" w:hAnsiTheme="minorHAnsi"/>
                <w:lang w:val="pl-PL" w:eastAsia="en-US"/>
              </w:rPr>
              <w:t>efekty uczenia się uczestników są jasno określone i zgodne z określonymi potrzebami kadry i /lub uczniów z sektora VET.</w:t>
            </w:r>
          </w:p>
          <w:p w:rsidR="00DB0B5C" w:rsidRPr="006E0B56" w:rsidRDefault="00DB0B5C" w:rsidP="00C371FE">
            <w:pPr>
              <w:spacing w:before="120" w:after="120"/>
              <w:rPr>
                <w:rFonts w:asciiTheme="minorHAnsi" w:hAnsiTheme="minorHAnsi"/>
                <w:lang w:val="pl-PL" w:eastAsia="en-US"/>
              </w:rPr>
            </w:pPr>
            <w:r w:rsidRPr="006E0B56">
              <w:rPr>
                <w:rFonts w:asciiTheme="minorHAnsi" w:hAnsiTheme="minorHAnsi"/>
                <w:lang w:val="pl-PL" w:eastAsia="en-US"/>
              </w:rPr>
              <w:t xml:space="preserve">Wniosek przewiduje odpowiednie możliwości </w:t>
            </w:r>
            <w:proofErr w:type="spellStart"/>
            <w:r w:rsidRPr="006E0B56">
              <w:rPr>
                <w:rFonts w:asciiTheme="minorHAnsi" w:hAnsiTheme="minorHAnsi"/>
                <w:lang w:val="pl-PL" w:eastAsia="en-US"/>
              </w:rPr>
              <w:t>szkolenia</w:t>
            </w:r>
            <w:proofErr w:type="spellEnd"/>
            <w:r w:rsidRPr="006E0B56">
              <w:rPr>
                <w:rFonts w:asciiTheme="minorHAnsi" w:hAnsiTheme="minorHAnsi"/>
                <w:lang w:val="pl-PL" w:eastAsia="en-US"/>
              </w:rPr>
              <w:t xml:space="preserve"> dla kadry z sektora VET mające na celu rozwój wiedzy zawodowej, umiejętności i kompetencji.</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eastAsia="en-US"/>
              </w:rPr>
              <w:t>Oraz/lub wniosek przewiduje odpowiednie możliwości dla uczniów z sektora VET mające na celu nabycie przez nich wiedzy i umiejętności przy</w:t>
            </w:r>
            <w:r w:rsidR="00C6612C">
              <w:rPr>
                <w:rFonts w:asciiTheme="minorHAnsi" w:hAnsiTheme="minorHAnsi"/>
                <w:lang w:val="pl-PL" w:eastAsia="en-US"/>
              </w:rPr>
              <w:t>datnych w rozwoju osobistym i z</w:t>
            </w:r>
            <w:r w:rsidRPr="006E0B56">
              <w:rPr>
                <w:rFonts w:asciiTheme="minorHAnsi" w:hAnsiTheme="minorHAnsi"/>
                <w:lang w:val="pl-PL" w:eastAsia="en-US"/>
              </w:rPr>
              <w:t>dobyciu zatrudnienia.</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eastAsia="en-US"/>
              </w:rPr>
              <w:t xml:space="preserve">- zwiększenie potencjału i </w:t>
            </w:r>
            <w:r w:rsidRPr="006E0B56">
              <w:rPr>
                <w:rFonts w:asciiTheme="minorHAnsi" w:hAnsiTheme="minorHAnsi"/>
                <w:lang w:val="pl-PL" w:eastAsia="en-US"/>
              </w:rPr>
              <w:lastRenderedPageBreak/>
              <w:t xml:space="preserve">międzynarodowego zasięgu instytucji uczestniczących </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lastRenderedPageBreak/>
              <w:t xml:space="preserve">Wniosek wyraźnie wspiera </w:t>
            </w:r>
            <w:r w:rsidRPr="006E0B56">
              <w:rPr>
                <w:rFonts w:asciiTheme="minorHAnsi" w:hAnsiTheme="minorHAnsi"/>
                <w:lang w:val="pl-PL" w:eastAsia="en-US"/>
              </w:rPr>
              <w:t xml:space="preserve">zwiększanie potencjału  </w:t>
            </w:r>
            <w:r w:rsidRPr="006E0B56">
              <w:rPr>
                <w:rFonts w:asciiTheme="minorHAnsi" w:hAnsiTheme="minorHAnsi"/>
                <w:lang w:val="pl-PL"/>
              </w:rPr>
              <w:t xml:space="preserve">uczestniczących instytucji oraz umiejętności </w:t>
            </w:r>
            <w:r w:rsidRPr="006E0B56">
              <w:rPr>
                <w:rFonts w:asciiTheme="minorHAnsi" w:hAnsiTheme="minorHAnsi"/>
                <w:lang w:val="pl-PL"/>
              </w:rPr>
              <w:lastRenderedPageBreak/>
              <w:t>skutecznej współpracy z międzynarodowymi partnerami w sektorze VET.</w:t>
            </w:r>
          </w:p>
          <w:p w:rsidR="00DB0B5C" w:rsidRPr="006E0B56" w:rsidRDefault="00DB0B5C" w:rsidP="00C371FE">
            <w:pPr>
              <w:spacing w:before="120" w:after="120"/>
              <w:rPr>
                <w:rFonts w:asciiTheme="minorHAnsi" w:hAnsiTheme="minorHAnsi"/>
                <w:lang w:val="pl-PL"/>
              </w:rPr>
            </w:pPr>
          </w:p>
        </w:tc>
      </w:tr>
      <w:tr w:rsidR="00DB0B5C" w:rsidRPr="002A1F42" w:rsidTr="004D0F57">
        <w:tc>
          <w:tcPr>
            <w:tcW w:w="2376" w:type="dxa"/>
            <w:vMerge w:val="restart"/>
          </w:tcPr>
          <w:p w:rsidR="00DB0B5C" w:rsidRPr="006E0B56" w:rsidRDefault="00DB0B5C" w:rsidP="00C371FE">
            <w:pPr>
              <w:spacing w:before="120" w:after="120"/>
              <w:rPr>
                <w:rFonts w:asciiTheme="minorHAnsi" w:hAnsiTheme="minorHAnsi"/>
                <w:b/>
                <w:lang w:val="pl-PL"/>
              </w:rPr>
            </w:pPr>
            <w:r w:rsidRPr="006E0B56">
              <w:rPr>
                <w:rFonts w:asciiTheme="minorHAnsi" w:hAnsiTheme="minorHAnsi"/>
                <w:b/>
                <w:lang w:val="pl-PL"/>
              </w:rPr>
              <w:lastRenderedPageBreak/>
              <w:t>Jakość koncepcji projektu i jego realizacji (maksymalnie 40 punktów)</w:t>
            </w:r>
          </w:p>
          <w:p w:rsidR="00DB0B5C" w:rsidRPr="006E0B56" w:rsidRDefault="00DB0B5C" w:rsidP="00C371FE">
            <w:pPr>
              <w:spacing w:before="120" w:after="120"/>
              <w:rPr>
                <w:rFonts w:asciiTheme="minorHAnsi" w:hAnsiTheme="minorHAnsi"/>
                <w:lang w:val="pl-PL"/>
              </w:rPr>
            </w:pPr>
          </w:p>
        </w:tc>
        <w:tc>
          <w:tcPr>
            <w:tcW w:w="2977" w:type="dxa"/>
          </w:tcPr>
          <w:p w:rsidR="00DB0B5C" w:rsidRPr="006E0B56" w:rsidRDefault="004D0F57" w:rsidP="00C371FE">
            <w:pPr>
              <w:pStyle w:val="Teksttreci101"/>
              <w:numPr>
                <w:ilvl w:val="0"/>
                <w:numId w:val="10"/>
              </w:numPr>
              <w:shd w:val="clear" w:color="auto" w:fill="auto"/>
              <w:tabs>
                <w:tab w:val="left" w:pos="826"/>
              </w:tabs>
              <w:spacing w:before="120" w:after="120"/>
              <w:rPr>
                <w:rFonts w:asciiTheme="minorHAnsi" w:hAnsiTheme="minorHAnsi"/>
                <w:sz w:val="22"/>
                <w:szCs w:val="22"/>
              </w:rPr>
            </w:pPr>
            <w:r>
              <w:rPr>
                <w:rFonts w:asciiTheme="minorHAnsi" w:hAnsiTheme="minorHAnsi"/>
                <w:sz w:val="22"/>
                <w:szCs w:val="22"/>
                <w:lang w:eastAsia="en-US"/>
              </w:rPr>
              <w:t>K</w:t>
            </w:r>
            <w:r w:rsidR="00DB0B5C" w:rsidRPr="006E0B56">
              <w:rPr>
                <w:rFonts w:asciiTheme="minorHAnsi" w:hAnsiTheme="minorHAnsi"/>
                <w:sz w:val="22"/>
                <w:szCs w:val="22"/>
                <w:lang w:eastAsia="en-US"/>
              </w:rPr>
              <w:t>larowność, kompletność i jakość wszystkich etapów realizacji projektu (przygotowanie, realizacja i kontynuacja działań związanych z mobilnością</w:t>
            </w:r>
            <w:r w:rsidR="00DB0B5C" w:rsidRPr="006E0B56">
              <w:rPr>
                <w:rFonts w:asciiTheme="minorHAnsi" w:hAnsiTheme="minorHAnsi"/>
                <w:sz w:val="22"/>
                <w:szCs w:val="22"/>
              </w:rPr>
              <w:t>)</w:t>
            </w:r>
          </w:p>
          <w:p w:rsidR="00DB0B5C" w:rsidRPr="006E0B56" w:rsidRDefault="00DB0B5C" w:rsidP="00C371FE">
            <w:pPr>
              <w:spacing w:before="120" w:after="120"/>
              <w:rPr>
                <w:rFonts w:asciiTheme="minorHAnsi" w:hAnsiTheme="minorHAnsi"/>
                <w:lang w:val="pl-PL"/>
              </w:rPr>
            </w:pP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Wniosek wykazuje, że wszystkie etapy realizacji projektu zostały właściwie opracowane i pozwalają na osiągnięcie zakładanych celów</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Plan działań jest jasno określony, logiczny i realistyczny.</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We wniosku przedstawiono jasny i właściwie opracowany  harmonogram.</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Wniosek uwzględnia klarowne metody oraz regularne i konkretne działania w celu monitorowania postępów i rozwiązywania napotkanych problemów.</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rPr>
              <w:t xml:space="preserve">Spójność celów projektu z zaproponowanymi działaniami </w:t>
            </w:r>
          </w:p>
          <w:p w:rsidR="00DB0B5C" w:rsidRPr="006E0B56" w:rsidRDefault="00DB0B5C" w:rsidP="00C371FE">
            <w:pPr>
              <w:spacing w:before="120" w:after="120"/>
              <w:rPr>
                <w:rFonts w:asciiTheme="minorHAnsi" w:hAnsiTheme="minorHAnsi"/>
                <w:lang w:val="pl-PL"/>
              </w:rPr>
            </w:pP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Zaproponowane działania są odpowiednie do osiągnięcia celów projektu.</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Przedstawione działania są stosowne do określonych potrzeby zaangażowanych instytucji i uczestników  projektu.</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Typ, liczba i czas trwania mobilności są odpowiednie, realistyczne i zgodne z możliwościami uczestniczących instytucji.</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Projekt zapewnia </w:t>
            </w:r>
            <w:r w:rsidR="00C6612C" w:rsidRPr="00C6612C">
              <w:rPr>
                <w:rFonts w:asciiTheme="minorHAnsi" w:hAnsiTheme="minorHAnsi"/>
                <w:lang w:val="pl-PL"/>
              </w:rPr>
              <w:t>dobre wykorzystanie środków finansowych w stosunku do jakości</w:t>
            </w:r>
            <w:r w:rsidRPr="006E0B56">
              <w:rPr>
                <w:rFonts w:asciiTheme="minorHAnsi" w:hAnsiTheme="minorHAnsi"/>
                <w:lang w:val="pl-PL"/>
              </w:rPr>
              <w:t xml:space="preserve">. </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eastAsia="en-US"/>
              </w:rPr>
              <w:t>Jakość praktycznych ustaleń, zarządzania i działań wspierających</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We wniosku wykazano, że uczestniczące instytucje zastosują odpowiednie środki i zaangażują odpowiednie zasoby, aby zapewnić, że mobilności będą wysokiej jakości.</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eastAsia="en-US"/>
              </w:rPr>
            </w:pPr>
            <w:proofErr w:type="spellStart"/>
            <w:r w:rsidRPr="004D0F57">
              <w:rPr>
                <w:rFonts w:asciiTheme="minorHAnsi" w:hAnsiTheme="minorHAnsi"/>
                <w:lang w:eastAsia="en-US"/>
              </w:rPr>
              <w:t>Jakość</w:t>
            </w:r>
            <w:proofErr w:type="spellEnd"/>
            <w:r w:rsidRPr="004D0F57">
              <w:rPr>
                <w:rFonts w:asciiTheme="minorHAnsi" w:hAnsiTheme="minorHAnsi"/>
                <w:lang w:eastAsia="en-US"/>
              </w:rPr>
              <w:t xml:space="preserve"> </w:t>
            </w:r>
            <w:proofErr w:type="spellStart"/>
            <w:r w:rsidRPr="004D0F57">
              <w:rPr>
                <w:rFonts w:asciiTheme="minorHAnsi" w:hAnsiTheme="minorHAnsi"/>
                <w:lang w:eastAsia="en-US"/>
              </w:rPr>
              <w:t>przygotowania</w:t>
            </w:r>
            <w:proofErr w:type="spellEnd"/>
            <w:r w:rsidRPr="004D0F57">
              <w:rPr>
                <w:rFonts w:asciiTheme="minorHAnsi" w:hAnsiTheme="minorHAnsi"/>
                <w:lang w:eastAsia="en-US"/>
              </w:rPr>
              <w:t xml:space="preserve"> </w:t>
            </w:r>
            <w:proofErr w:type="spellStart"/>
            <w:r w:rsidRPr="004D0F57">
              <w:rPr>
                <w:rFonts w:asciiTheme="minorHAnsi" w:hAnsiTheme="minorHAnsi"/>
                <w:lang w:eastAsia="en-US"/>
              </w:rPr>
              <w:t>uczestników</w:t>
            </w:r>
            <w:proofErr w:type="spellEnd"/>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We wniosku wykazano, że uczestnikom zostanie zapewnione dobre przygotowanie przed mobilnością, w tym, w miarę konieczności, przygotowanie językowe, kulturowe i/lub pedagogiczne. </w:t>
            </w:r>
          </w:p>
        </w:tc>
      </w:tr>
      <w:tr w:rsidR="00DB0B5C" w:rsidRPr="002A1F42"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eastAsia="en-US"/>
              </w:rPr>
              <w:t xml:space="preserve">Jakość uzgodnień dot. uznawania i walidacji efektów uczenia się </w:t>
            </w:r>
            <w:r w:rsidRPr="004D0F57">
              <w:rPr>
                <w:rFonts w:asciiTheme="minorHAnsi" w:hAnsiTheme="minorHAnsi"/>
                <w:lang w:val="pl-PL" w:eastAsia="en-US"/>
              </w:rPr>
              <w:lastRenderedPageBreak/>
              <w:t>osiągniętych przez uczestników oraz wykorzystanie odpowiednich europejskich narzędzi do zapewnienia przejrzystości i uznawalności</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lastRenderedPageBreak/>
              <w:t xml:space="preserve">We wniosku wykazano, że efekty uczenia się osiągnięte przez uczestników zostaną w odpowiedni sposób uznane i </w:t>
            </w:r>
            <w:proofErr w:type="spellStart"/>
            <w:r w:rsidRPr="006E0B56">
              <w:rPr>
                <w:rFonts w:asciiTheme="minorHAnsi" w:hAnsiTheme="minorHAnsi"/>
                <w:lang w:val="pl-PL"/>
              </w:rPr>
              <w:t>zwalidowane</w:t>
            </w:r>
            <w:proofErr w:type="spellEnd"/>
            <w:r w:rsidRPr="006E0B56">
              <w:rPr>
                <w:rFonts w:asciiTheme="minorHAnsi" w:hAnsiTheme="minorHAnsi"/>
                <w:lang w:val="pl-PL"/>
              </w:rPr>
              <w:t>.</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Tam gdzie to możliwe, stosowane będą europejskie narzędzia uznawania: ECVET lub </w:t>
            </w:r>
            <w:proofErr w:type="spellStart"/>
            <w:r w:rsidRPr="006E0B56">
              <w:rPr>
                <w:rFonts w:asciiTheme="minorHAnsi" w:hAnsiTheme="minorHAnsi"/>
                <w:lang w:val="pl-PL"/>
              </w:rPr>
              <w:t>Europass</w:t>
            </w:r>
            <w:proofErr w:type="spellEnd"/>
            <w:r w:rsidRPr="006E0B56">
              <w:rPr>
                <w:rFonts w:asciiTheme="minorHAnsi" w:hAnsiTheme="minorHAnsi"/>
                <w:lang w:val="pl-PL"/>
              </w:rPr>
              <w:t>.</w:t>
            </w:r>
          </w:p>
        </w:tc>
      </w:tr>
      <w:tr w:rsidR="00DB0B5C" w:rsidRPr="002A1F42" w:rsidTr="004D0F57">
        <w:tc>
          <w:tcPr>
            <w:tcW w:w="2376" w:type="dxa"/>
            <w:vMerge/>
          </w:tcPr>
          <w:p w:rsidR="00DB0B5C" w:rsidRPr="006E0B56" w:rsidRDefault="00DB0B5C" w:rsidP="00C371FE">
            <w:pPr>
              <w:spacing w:before="120" w:after="120"/>
              <w:rPr>
                <w:rFonts w:asciiTheme="minorHAnsi" w:hAnsiTheme="minorHAnsi"/>
                <w:b/>
                <w:lang w:val="pl-PL" w:eastAsia="en-US"/>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rPr>
              <w:t xml:space="preserve">Stosowność metod wyboru i/lub zaangażowania uczestników w działania </w:t>
            </w:r>
            <w:proofErr w:type="spellStart"/>
            <w:r w:rsidRPr="004D0F57">
              <w:rPr>
                <w:rFonts w:asciiTheme="minorHAnsi" w:hAnsiTheme="minorHAnsi"/>
                <w:lang w:val="pl-PL"/>
              </w:rPr>
              <w:t>mobilnościowe</w:t>
            </w:r>
            <w:proofErr w:type="spellEnd"/>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We wniosku jasno przedstawiono kryteria wyboru uczniów/kadry do uczestnictwa w mobilności. </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Kryteria wyboru są sprawiedliwe i przejrzyste oraz zapewniają wybór osób z grupy docelowej projektu, które mają duży potencjał do osiągnięcia zamierzonych efektów uczenia się.</w:t>
            </w:r>
          </w:p>
        </w:tc>
      </w:tr>
      <w:tr w:rsidR="00DB0B5C" w:rsidRPr="002A1F42" w:rsidTr="004D0F57">
        <w:tc>
          <w:tcPr>
            <w:tcW w:w="2376" w:type="dxa"/>
            <w:vMerge/>
          </w:tcPr>
          <w:p w:rsidR="00DB0B5C" w:rsidRPr="006E0B56" w:rsidRDefault="00DB0B5C" w:rsidP="00C371FE">
            <w:pPr>
              <w:spacing w:before="120" w:after="120"/>
              <w:rPr>
                <w:rFonts w:asciiTheme="minorHAnsi" w:hAnsiTheme="minorHAnsi"/>
                <w:b/>
                <w:lang w:val="pl-PL" w:eastAsia="en-US"/>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rPr>
              <w:t xml:space="preserve">Jeżeli dotyczy, jakość współpracy i komunikacji między instytucjami uczestniczącymi w projekcie, oraz z innymi </w:t>
            </w:r>
            <w:proofErr w:type="spellStart"/>
            <w:r w:rsidRPr="004D0F57">
              <w:rPr>
                <w:rFonts w:asciiTheme="minorHAnsi" w:hAnsiTheme="minorHAnsi"/>
                <w:lang w:val="pl-PL"/>
              </w:rPr>
              <w:t>interesariuszami</w:t>
            </w:r>
            <w:proofErr w:type="spellEnd"/>
            <w:r w:rsidRPr="004D0F57">
              <w:rPr>
                <w:rFonts w:asciiTheme="minorHAnsi" w:hAnsiTheme="minorHAnsi"/>
                <w:lang w:val="pl-PL"/>
              </w:rPr>
              <w:t xml:space="preserve"> projektu </w:t>
            </w:r>
          </w:p>
          <w:p w:rsidR="00DB0B5C" w:rsidRPr="006E0B56" w:rsidRDefault="00DB0B5C" w:rsidP="00C371FE">
            <w:pPr>
              <w:spacing w:before="120" w:after="120"/>
              <w:rPr>
                <w:rFonts w:asciiTheme="minorHAnsi" w:hAnsiTheme="minorHAnsi"/>
                <w:lang w:val="pl-PL" w:eastAsia="en-US"/>
              </w:rPr>
            </w:pP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We wniosku wykazano, że uczestniczące instytucje poczyniły odpowiednie uzgodnienia dot. współpracy.</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We wniosku wskazano odpowiednie kanały komunikowania się przez uczestniczące instytucje.</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Wniosek pokazuje, że podział obowiązków i zadań pomiędzy wszystkimi instytucjami uczestniczącymi jest zrównoważony.</w:t>
            </w:r>
          </w:p>
        </w:tc>
      </w:tr>
      <w:tr w:rsidR="00DB0B5C" w:rsidRPr="002A1F42" w:rsidTr="004D0F57">
        <w:tc>
          <w:tcPr>
            <w:tcW w:w="2376" w:type="dxa"/>
            <w:vMerge w:val="restart"/>
          </w:tcPr>
          <w:p w:rsidR="00DB0B5C" w:rsidRPr="006E0B56" w:rsidRDefault="00DB0B5C" w:rsidP="00C371FE">
            <w:pPr>
              <w:spacing w:before="120" w:after="120"/>
              <w:rPr>
                <w:rFonts w:asciiTheme="minorHAnsi" w:hAnsiTheme="minorHAnsi"/>
                <w:b/>
                <w:lang w:val="pl-PL"/>
              </w:rPr>
            </w:pPr>
            <w:r w:rsidRPr="006E0B56">
              <w:rPr>
                <w:rFonts w:asciiTheme="minorHAnsi" w:hAnsiTheme="minorHAnsi"/>
                <w:b/>
                <w:lang w:val="pl-PL" w:eastAsia="en-US"/>
              </w:rPr>
              <w:t>Wpływ i upowszechnianie</w:t>
            </w:r>
            <w:r w:rsidRPr="006E0B56">
              <w:rPr>
                <w:rFonts w:asciiTheme="minorHAnsi" w:hAnsiTheme="minorHAnsi"/>
                <w:b/>
                <w:lang w:val="pl-PL" w:eastAsia="en-US"/>
              </w:rPr>
              <w:br/>
              <w:t>(maksymalnie 30 punktów)</w:t>
            </w: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eastAsia="en-US"/>
              </w:rPr>
              <w:t>Jakość działań związanych z  ewaluacją rezultatów projektu</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We wniosku opisano odpowiednie działania mające na celu ewaluację rezultatów projektu, szczególnie jakości efektów uczenia się osiągniętych w wyniku mobilności  i skuteczności działań wspierających przewidzianych przez uczestniczące instytucje, jak również rezultatów całego projektu. </w:t>
            </w:r>
          </w:p>
        </w:tc>
      </w:tr>
      <w:tr w:rsidR="00DB0B5C" w:rsidRPr="006E0B56" w:rsidTr="004D0F57">
        <w:tc>
          <w:tcPr>
            <w:tcW w:w="2376" w:type="dxa"/>
            <w:vMerge/>
          </w:tcPr>
          <w:p w:rsidR="00DB0B5C" w:rsidRPr="006E0B56" w:rsidRDefault="00DB0B5C" w:rsidP="00C371FE">
            <w:pPr>
              <w:spacing w:before="120" w:after="120"/>
              <w:rPr>
                <w:rFonts w:asciiTheme="minorHAnsi" w:hAnsiTheme="minorHAnsi"/>
                <w:lang w:val="pl-PL"/>
              </w:rPr>
            </w:pPr>
          </w:p>
        </w:tc>
        <w:tc>
          <w:tcPr>
            <w:tcW w:w="2977" w:type="dxa"/>
          </w:tcPr>
          <w:p w:rsidR="00DB0B5C" w:rsidRPr="006E0B56" w:rsidRDefault="00DB0B5C" w:rsidP="00C371FE">
            <w:pPr>
              <w:pStyle w:val="Teksttreci51"/>
              <w:numPr>
                <w:ilvl w:val="0"/>
                <w:numId w:val="10"/>
              </w:numPr>
              <w:shd w:val="clear" w:color="auto" w:fill="auto"/>
              <w:tabs>
                <w:tab w:val="left" w:pos="466"/>
              </w:tabs>
              <w:spacing w:before="120" w:after="120" w:line="240" w:lineRule="auto"/>
              <w:rPr>
                <w:rFonts w:asciiTheme="minorHAnsi" w:hAnsiTheme="minorHAnsi"/>
                <w:sz w:val="22"/>
                <w:szCs w:val="22"/>
              </w:rPr>
            </w:pPr>
            <w:r w:rsidRPr="006E0B56">
              <w:rPr>
                <w:rFonts w:asciiTheme="minorHAnsi" w:hAnsiTheme="minorHAnsi"/>
                <w:sz w:val="22"/>
                <w:szCs w:val="22"/>
                <w:lang w:eastAsia="en-US"/>
              </w:rPr>
              <w:t>Potencjalny wpływ projektu:</w:t>
            </w:r>
          </w:p>
          <w:p w:rsidR="00DB0B5C" w:rsidRPr="006E0B56" w:rsidRDefault="00DB0B5C" w:rsidP="00C371FE">
            <w:pPr>
              <w:pStyle w:val="Teksttreci111"/>
              <w:shd w:val="clear" w:color="auto" w:fill="auto"/>
              <w:tabs>
                <w:tab w:val="left" w:pos="1192"/>
              </w:tabs>
              <w:spacing w:before="120" w:after="120" w:line="240" w:lineRule="auto"/>
              <w:ind w:firstLine="0"/>
              <w:rPr>
                <w:rFonts w:asciiTheme="minorHAnsi" w:hAnsiTheme="minorHAnsi"/>
                <w:sz w:val="22"/>
                <w:szCs w:val="22"/>
              </w:rPr>
            </w:pPr>
            <w:r w:rsidRPr="006E0B56">
              <w:rPr>
                <w:rFonts w:asciiTheme="minorHAnsi" w:hAnsiTheme="minorHAnsi"/>
                <w:sz w:val="22"/>
                <w:szCs w:val="22"/>
                <w:lang w:eastAsia="en-US"/>
              </w:rPr>
              <w:t xml:space="preserve">- na uczestników i instytucje uczestniczące podczas i po </w:t>
            </w:r>
            <w:r w:rsidRPr="006E0B56">
              <w:rPr>
                <w:rFonts w:asciiTheme="minorHAnsi" w:hAnsiTheme="minorHAnsi"/>
                <w:sz w:val="22"/>
                <w:szCs w:val="22"/>
                <w:lang w:eastAsia="en-US"/>
              </w:rPr>
              <w:lastRenderedPageBreak/>
              <w:t xml:space="preserve">zakończeniu realizacji projektu </w:t>
            </w:r>
          </w:p>
          <w:p w:rsidR="00DB0B5C" w:rsidRPr="006E0B56" w:rsidRDefault="00DB0B5C" w:rsidP="00C371FE">
            <w:pPr>
              <w:pStyle w:val="Teksttreci101"/>
              <w:shd w:val="clear" w:color="auto" w:fill="auto"/>
              <w:tabs>
                <w:tab w:val="left" w:pos="826"/>
              </w:tabs>
              <w:spacing w:before="120" w:after="120" w:line="240" w:lineRule="exact"/>
              <w:ind w:firstLine="0"/>
              <w:rPr>
                <w:rFonts w:asciiTheme="minorHAnsi" w:hAnsiTheme="minorHAnsi"/>
                <w:sz w:val="22"/>
                <w:szCs w:val="22"/>
              </w:rPr>
            </w:pPr>
            <w:r w:rsidRPr="006E0B56">
              <w:rPr>
                <w:rFonts w:asciiTheme="minorHAnsi" w:hAnsiTheme="minorHAnsi"/>
                <w:sz w:val="22"/>
                <w:szCs w:val="22"/>
              </w:rPr>
              <w:t xml:space="preserve">- wykraczający poza instytucje i osoby bezpośrednio uczestniczące w projekcie, na poziomie lokalnym, regionalnym, krajowym i/lub europejskim </w:t>
            </w:r>
          </w:p>
          <w:p w:rsidR="00DB0B5C" w:rsidRPr="006E0B56" w:rsidRDefault="00DB0B5C" w:rsidP="00C371FE">
            <w:pPr>
              <w:spacing w:before="120" w:after="120"/>
              <w:rPr>
                <w:rFonts w:asciiTheme="minorHAnsi" w:hAnsiTheme="minorHAnsi"/>
                <w:lang w:val="pl-PL"/>
              </w:rPr>
            </w:pP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lastRenderedPageBreak/>
              <w:t>Projekt może mieć znaczący pozytywny wpływ na uczestniczące instytucje i uczestników.</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We wniosku przewidziano środki, które zostaną podjęte w celu zapewnienia trwałych efektów projektu, również po jego zakończeniu . Jeżeli projekt przewiduje mobilność kadry z sektora VET, w długoterminowej perspektywie </w:t>
            </w:r>
            <w:r w:rsidRPr="004D0F57">
              <w:rPr>
                <w:rFonts w:asciiTheme="minorHAnsi" w:hAnsiTheme="minorHAnsi"/>
                <w:lang w:val="pl-PL"/>
              </w:rPr>
              <w:t xml:space="preserve">osoby uczące się z wysyłających instytucji również </w:t>
            </w:r>
            <w:r w:rsidRPr="004D0F57">
              <w:rPr>
                <w:rFonts w:asciiTheme="minorHAnsi" w:hAnsiTheme="minorHAnsi"/>
                <w:lang w:val="pl-PL"/>
              </w:rPr>
              <w:lastRenderedPageBreak/>
              <w:t>odniosą korzyści z takich mobilności.</w:t>
            </w:r>
          </w:p>
          <w:p w:rsidR="00DB0B5C" w:rsidRPr="006E0B56" w:rsidRDefault="00DB0B5C" w:rsidP="00C371FE">
            <w:pPr>
              <w:spacing w:before="120" w:after="120"/>
              <w:rPr>
                <w:rFonts w:asciiTheme="minorHAnsi" w:hAnsiTheme="minorHAnsi"/>
                <w:lang w:val="pl-PL"/>
              </w:rPr>
            </w:pPr>
          </w:p>
          <w:p w:rsidR="00DB0B5C" w:rsidRPr="006E0B56" w:rsidRDefault="00DB0B5C" w:rsidP="00C371FE">
            <w:pPr>
              <w:spacing w:before="120" w:after="120"/>
              <w:rPr>
                <w:rFonts w:asciiTheme="minorHAnsi" w:hAnsiTheme="minorHAnsi"/>
              </w:rPr>
            </w:pPr>
            <w:r w:rsidRPr="006E0B56">
              <w:rPr>
                <w:rFonts w:asciiTheme="minorHAnsi" w:hAnsiTheme="minorHAnsi"/>
                <w:lang w:val="pl-PL"/>
              </w:rPr>
              <w:t xml:space="preserve">Projekt może mieć wpływ na instytucje i osoby nieuczestniczące w nim bezpośrednio. </w:t>
            </w:r>
            <w:proofErr w:type="spellStart"/>
            <w:r w:rsidRPr="006E0B56">
              <w:rPr>
                <w:rFonts w:asciiTheme="minorHAnsi" w:hAnsiTheme="minorHAnsi"/>
              </w:rPr>
              <w:t>Zostały</w:t>
            </w:r>
            <w:proofErr w:type="spellEnd"/>
            <w:r w:rsidRPr="006E0B56">
              <w:rPr>
                <w:rFonts w:asciiTheme="minorHAnsi" w:hAnsiTheme="minorHAnsi"/>
              </w:rPr>
              <w:t xml:space="preserve"> one </w:t>
            </w:r>
            <w:proofErr w:type="spellStart"/>
            <w:r w:rsidRPr="006E0B56">
              <w:rPr>
                <w:rFonts w:asciiTheme="minorHAnsi" w:hAnsiTheme="minorHAnsi"/>
              </w:rPr>
              <w:t>określone</w:t>
            </w:r>
            <w:proofErr w:type="spellEnd"/>
            <w:r w:rsidRPr="006E0B56">
              <w:rPr>
                <w:rFonts w:asciiTheme="minorHAnsi" w:hAnsiTheme="minorHAnsi"/>
              </w:rPr>
              <w:t xml:space="preserve"> we </w:t>
            </w:r>
            <w:proofErr w:type="spellStart"/>
            <w:r w:rsidRPr="006E0B56">
              <w:rPr>
                <w:rFonts w:asciiTheme="minorHAnsi" w:hAnsiTheme="minorHAnsi"/>
              </w:rPr>
              <w:t>wniosku</w:t>
            </w:r>
            <w:proofErr w:type="spellEnd"/>
            <w:r w:rsidRPr="006E0B56">
              <w:rPr>
                <w:rFonts w:asciiTheme="minorHAnsi" w:hAnsiTheme="minorHAnsi"/>
              </w:rPr>
              <w:t>.</w:t>
            </w:r>
          </w:p>
          <w:p w:rsidR="00DB0B5C" w:rsidRPr="006E0B56" w:rsidRDefault="00DB0B5C" w:rsidP="00C371FE">
            <w:pPr>
              <w:spacing w:before="120" w:after="120"/>
              <w:rPr>
                <w:rFonts w:asciiTheme="minorHAnsi" w:hAnsiTheme="minorHAnsi"/>
              </w:rPr>
            </w:pPr>
          </w:p>
        </w:tc>
      </w:tr>
      <w:tr w:rsidR="00DB0B5C" w:rsidRPr="002A1F42" w:rsidTr="004D0F57">
        <w:tc>
          <w:tcPr>
            <w:tcW w:w="2376" w:type="dxa"/>
            <w:vMerge/>
          </w:tcPr>
          <w:p w:rsidR="00DB0B5C" w:rsidRPr="006E0B56" w:rsidRDefault="00DB0B5C" w:rsidP="00C371FE">
            <w:pPr>
              <w:spacing w:before="120" w:after="120"/>
              <w:rPr>
                <w:rFonts w:asciiTheme="minorHAnsi" w:hAnsiTheme="minorHAnsi"/>
              </w:rPr>
            </w:pPr>
          </w:p>
        </w:tc>
        <w:tc>
          <w:tcPr>
            <w:tcW w:w="2977" w:type="dxa"/>
          </w:tcPr>
          <w:p w:rsidR="00DB0B5C" w:rsidRPr="004D0F57" w:rsidRDefault="00DB0B5C" w:rsidP="00C371FE">
            <w:pPr>
              <w:pStyle w:val="Akapitzlist"/>
              <w:numPr>
                <w:ilvl w:val="0"/>
                <w:numId w:val="10"/>
              </w:numPr>
              <w:spacing w:before="120" w:after="120"/>
              <w:rPr>
                <w:rFonts w:asciiTheme="minorHAnsi" w:hAnsiTheme="minorHAnsi"/>
                <w:lang w:val="pl-PL"/>
              </w:rPr>
            </w:pPr>
            <w:r w:rsidRPr="004D0F57">
              <w:rPr>
                <w:rFonts w:asciiTheme="minorHAnsi" w:hAnsiTheme="minorHAnsi"/>
                <w:lang w:val="pl-PL" w:eastAsia="en-US"/>
              </w:rPr>
              <w:t xml:space="preserve">Stosowność i jakość działań związanych z upowszechnianiem rezultatów  projektu </w:t>
            </w:r>
            <w:r w:rsidRPr="004D0F57">
              <w:rPr>
                <w:rFonts w:asciiTheme="minorHAnsi" w:hAnsiTheme="minorHAnsi"/>
                <w:lang w:val="pl-PL"/>
              </w:rPr>
              <w:t>wewnątrz instytucji partnerskich projektu i poza nimi.</w:t>
            </w:r>
          </w:p>
        </w:tc>
        <w:tc>
          <w:tcPr>
            <w:tcW w:w="8791" w:type="dxa"/>
          </w:tcPr>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Wniosek zawiera  zrozumiały i dobrej jakości plan upowszechniania rezultatów projektu, w którym szczegółowo przedstawiono działania upowszechniające oraz określono odpowiednie grupy docelowe tych działań. </w:t>
            </w:r>
          </w:p>
          <w:p w:rsidR="00DB0B5C" w:rsidRPr="006E0B56" w:rsidRDefault="00DB0B5C" w:rsidP="00C371FE">
            <w:pPr>
              <w:spacing w:before="120" w:after="120"/>
              <w:rPr>
                <w:rFonts w:asciiTheme="minorHAnsi" w:hAnsiTheme="minorHAnsi"/>
                <w:lang w:val="pl-PL"/>
              </w:rPr>
            </w:pPr>
            <w:r w:rsidRPr="006E0B56">
              <w:rPr>
                <w:rFonts w:asciiTheme="minorHAnsi" w:hAnsiTheme="minorHAnsi"/>
                <w:lang w:val="pl-PL"/>
              </w:rPr>
              <w:t xml:space="preserve">Wniosek prezentuje </w:t>
            </w:r>
            <w:r w:rsidRPr="004D0F57">
              <w:rPr>
                <w:rFonts w:asciiTheme="minorHAnsi" w:hAnsiTheme="minorHAnsi"/>
                <w:lang w:val="pl-PL"/>
              </w:rPr>
              <w:t xml:space="preserve">działania </w:t>
            </w:r>
            <w:proofErr w:type="spellStart"/>
            <w:r w:rsidRPr="004D0F57">
              <w:rPr>
                <w:rFonts w:asciiTheme="minorHAnsi" w:hAnsiTheme="minorHAnsi"/>
                <w:lang w:val="pl-PL"/>
              </w:rPr>
              <w:t>proaktywne</w:t>
            </w:r>
            <w:proofErr w:type="spellEnd"/>
            <w:r w:rsidRPr="004D0F57">
              <w:rPr>
                <w:rFonts w:asciiTheme="minorHAnsi" w:hAnsiTheme="minorHAnsi"/>
                <w:lang w:val="pl-PL"/>
              </w:rPr>
              <w:t>, jakie</w:t>
            </w:r>
            <w:r w:rsidRPr="006E0B56">
              <w:rPr>
                <w:rFonts w:asciiTheme="minorHAnsi" w:hAnsiTheme="minorHAnsi"/>
                <w:lang w:val="pl-PL"/>
              </w:rPr>
              <w:t xml:space="preserve"> zostaną podjęte, aby dotrzeć do grup docelowych.</w:t>
            </w:r>
          </w:p>
          <w:p w:rsidR="00DB0B5C" w:rsidRPr="006E0B56" w:rsidRDefault="00DB0B5C" w:rsidP="00C371FE">
            <w:pPr>
              <w:spacing w:before="120" w:after="120"/>
              <w:rPr>
                <w:rFonts w:asciiTheme="minorHAnsi" w:hAnsiTheme="minorHAnsi"/>
                <w:lang w:val="pl-PL"/>
              </w:rPr>
            </w:pPr>
          </w:p>
        </w:tc>
      </w:tr>
    </w:tbl>
    <w:p w:rsidR="002523A4" w:rsidRDefault="002523A4" w:rsidP="00C371FE">
      <w:pPr>
        <w:spacing w:before="120" w:after="120"/>
        <w:rPr>
          <w:lang w:val="pl-PL"/>
        </w:rPr>
        <w:sectPr w:rsidR="002523A4" w:rsidSect="00B663EA">
          <w:pgSz w:w="16838" w:h="11906" w:orient="landscape"/>
          <w:pgMar w:top="1417" w:right="1417" w:bottom="1417" w:left="1417" w:header="708" w:footer="708" w:gutter="0"/>
          <w:cols w:space="708"/>
          <w:docGrid w:linePitch="360"/>
        </w:sectPr>
      </w:pPr>
    </w:p>
    <w:p w:rsidR="002523A4" w:rsidRPr="000D5EB5" w:rsidRDefault="002523A4" w:rsidP="00C371FE">
      <w:pPr>
        <w:autoSpaceDE w:val="0"/>
        <w:autoSpaceDN w:val="0"/>
        <w:adjustRightInd w:val="0"/>
        <w:spacing w:before="120" w:after="120"/>
        <w:jc w:val="both"/>
        <w:rPr>
          <w:rFonts w:ascii="Calibri" w:hAnsi="Calibri" w:cs="Verdana,Bold"/>
          <w:b/>
          <w:bCs/>
          <w:color w:val="auto"/>
          <w:lang w:val="pl-PL"/>
        </w:rPr>
      </w:pPr>
      <w:r w:rsidRPr="000D5EB5">
        <w:rPr>
          <w:rFonts w:ascii="Calibri" w:hAnsi="Calibri" w:cs="Verdana,Bold"/>
          <w:b/>
          <w:bCs/>
          <w:color w:val="auto"/>
          <w:lang w:val="pl-PL"/>
        </w:rPr>
        <w:lastRenderedPageBreak/>
        <w:t>Załącznik 5 Dokumenty źródłowe określające priorytety</w:t>
      </w:r>
    </w:p>
    <w:p w:rsidR="002523A4" w:rsidRPr="000D5EB5" w:rsidRDefault="002523A4" w:rsidP="00C371FE">
      <w:pPr>
        <w:autoSpaceDE w:val="0"/>
        <w:autoSpaceDN w:val="0"/>
        <w:adjustRightInd w:val="0"/>
        <w:spacing w:before="120" w:after="120"/>
        <w:jc w:val="both"/>
        <w:rPr>
          <w:rFonts w:ascii="Calibri" w:hAnsi="Calibri" w:cs="Verdana,Bold"/>
          <w:b/>
          <w:bCs/>
          <w:color w:val="auto"/>
          <w:sz w:val="22"/>
          <w:szCs w:val="22"/>
          <w:lang w:val="pl-PL"/>
        </w:rPr>
      </w:pPr>
    </w:p>
    <w:p w:rsidR="002523A4" w:rsidRPr="000D5EB5" w:rsidRDefault="002523A4" w:rsidP="00C371FE">
      <w:pPr>
        <w:autoSpaceDE w:val="0"/>
        <w:autoSpaceDN w:val="0"/>
        <w:adjustRightInd w:val="0"/>
        <w:spacing w:before="120" w:after="120"/>
        <w:jc w:val="both"/>
        <w:rPr>
          <w:rFonts w:ascii="Calibri" w:hAnsi="Calibri" w:cs="Verdana,Bold"/>
          <w:b/>
          <w:bCs/>
          <w:color w:val="auto"/>
          <w:sz w:val="22"/>
          <w:szCs w:val="22"/>
          <w:lang w:val="pl-PL"/>
        </w:rPr>
      </w:pPr>
      <w:r w:rsidRPr="000D5EB5">
        <w:rPr>
          <w:rFonts w:ascii="Calibri" w:hAnsi="Calibri" w:cs="Verdana,Bold"/>
          <w:b/>
          <w:bCs/>
          <w:color w:val="auto"/>
          <w:sz w:val="22"/>
          <w:szCs w:val="22"/>
          <w:lang w:val="pl-PL"/>
        </w:rPr>
        <w:t>5.A Przekrojowe priorytety w sektorze edukacji, szkoleń i młodzieży</w:t>
      </w: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Bold"/>
          <w:b/>
          <w:bCs/>
          <w:sz w:val="22"/>
          <w:szCs w:val="22"/>
          <w:lang w:val="pl-PL"/>
        </w:rPr>
        <w:t>Priorytety ogólne</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r w:rsidRPr="00746503">
        <w:rPr>
          <w:rFonts w:ascii="Calibri" w:hAnsi="Calibri" w:cs="Verdana"/>
          <w:sz w:val="22"/>
          <w:szCs w:val="22"/>
          <w:lang w:val="de-DE"/>
        </w:rPr>
        <w:t xml:space="preserve">- Europa 2020: </w:t>
      </w:r>
      <w:r w:rsidR="002E7A18">
        <w:fldChar w:fldCharType="begin"/>
      </w:r>
      <w:r w:rsidR="002E7A18" w:rsidRPr="002A1F42">
        <w:rPr>
          <w:lang w:val="pl-PL"/>
        </w:rPr>
        <w:instrText>HYPERLINK "http://ec.europa.eu/europe2020/index_pl.htm"</w:instrText>
      </w:r>
      <w:r w:rsidR="002E7A18">
        <w:fldChar w:fldCharType="separate"/>
      </w:r>
      <w:r w:rsidRPr="00746503">
        <w:rPr>
          <w:rStyle w:val="Hipercze"/>
          <w:rFonts w:ascii="Calibri" w:hAnsi="Calibri"/>
          <w:sz w:val="22"/>
          <w:szCs w:val="22"/>
          <w:lang w:val="de-DE"/>
        </w:rPr>
        <w:t>http://ec.europa.eu/europe2020/index_pl.htm</w:t>
      </w:r>
      <w:r w:rsidR="002E7A18">
        <w:fldChar w:fldCharType="end"/>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sz w:val="22"/>
          <w:szCs w:val="22"/>
          <w:lang w:val="pl-PL"/>
        </w:rPr>
        <w:t xml:space="preserve">- Europa 2020 - cele: </w:t>
      </w:r>
      <w:r w:rsidR="002E7A18">
        <w:fldChar w:fldCharType="begin"/>
      </w:r>
      <w:r w:rsidR="002E7A18" w:rsidRPr="002A1F42">
        <w:rPr>
          <w:lang w:val="pl-PL"/>
        </w:rPr>
        <w:instrText>HYPERLINK "http://ec.europa.eu/europe2020/targets/eu-targets/index_pl.htm"</w:instrText>
      </w:r>
      <w:r w:rsidR="002E7A18">
        <w:fldChar w:fldCharType="separate"/>
      </w:r>
      <w:r w:rsidRPr="000D5EB5">
        <w:rPr>
          <w:rStyle w:val="Hipercze"/>
          <w:rFonts w:ascii="Calibri" w:hAnsi="Calibri"/>
          <w:sz w:val="22"/>
          <w:szCs w:val="22"/>
          <w:lang w:val="pl-PL"/>
        </w:rPr>
        <w:t>http://ec.europa.eu/europe2020/targets/eu-targets/index_pl.htm</w:t>
      </w:r>
      <w:r w:rsidR="002E7A18">
        <w:fldChar w:fldCharType="end"/>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xml:space="preserve">- Kształcenie i </w:t>
      </w:r>
      <w:proofErr w:type="spellStart"/>
      <w:r w:rsidRPr="000D5EB5">
        <w:rPr>
          <w:rFonts w:ascii="Calibri" w:hAnsi="Calibri" w:cs="Verdana"/>
          <w:sz w:val="22"/>
          <w:szCs w:val="22"/>
          <w:lang w:val="pl-PL"/>
        </w:rPr>
        <w:t>szkolenia</w:t>
      </w:r>
      <w:proofErr w:type="spellEnd"/>
      <w:r w:rsidRPr="000D5EB5">
        <w:rPr>
          <w:rFonts w:ascii="Calibri" w:hAnsi="Calibri" w:cs="Verdana"/>
          <w:sz w:val="22"/>
          <w:szCs w:val="22"/>
          <w:lang w:val="pl-PL"/>
        </w:rPr>
        <w:t xml:space="preserve"> 2020 (ET2020):</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http://ec.europa.eu/education/policy/strategic-framework/index_en.htm</w:t>
      </w:r>
    </w:p>
    <w:p w:rsidR="002523A4" w:rsidRPr="000D5EB5" w:rsidRDefault="002523A4" w:rsidP="00C371FE">
      <w:pPr>
        <w:spacing w:before="120" w:after="120"/>
        <w:ind w:left="360"/>
        <w:jc w:val="both"/>
        <w:rPr>
          <w:rFonts w:ascii="Calibri" w:hAnsi="Calibri" w:cs="Verdana"/>
          <w:color w:val="1A3F7B"/>
          <w:sz w:val="22"/>
          <w:szCs w:val="22"/>
          <w:lang w:val="pl-PL"/>
        </w:rPr>
      </w:pPr>
    </w:p>
    <w:p w:rsidR="002523A4" w:rsidRPr="000D5EB5" w:rsidRDefault="002523A4" w:rsidP="00C371FE">
      <w:pPr>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 </w:t>
      </w:r>
      <w:r w:rsidRPr="000D5EB5">
        <w:rPr>
          <w:rFonts w:ascii="Calibri" w:hAnsi="Calibri"/>
          <w:sz w:val="22"/>
          <w:szCs w:val="22"/>
          <w:lang w:val="pl-PL"/>
        </w:rPr>
        <w:t xml:space="preserve">Nowe podejście do edukacji: Inwestowanie w umiejętności na rzecz lepszych efektów społeczno-gospodarczych </w:t>
      </w:r>
      <w:r w:rsidRPr="000D5EB5">
        <w:rPr>
          <w:rFonts w:ascii="Calibri" w:hAnsi="Calibri" w:cs="Verdana"/>
          <w:color w:val="1A3F7B"/>
          <w:sz w:val="22"/>
          <w:szCs w:val="22"/>
          <w:lang w:val="pl-PL"/>
        </w:rPr>
        <w:t>http://eur-lex.europa.eu/LexUriServ/LexUriServ.do?uri=COM:2012:0669:FIN:PL:PDF</w:t>
      </w:r>
    </w:p>
    <w:p w:rsidR="002523A4" w:rsidRPr="000D5EB5" w:rsidRDefault="002523A4" w:rsidP="00C371FE">
      <w:pPr>
        <w:autoSpaceDE w:val="0"/>
        <w:autoSpaceDN w:val="0"/>
        <w:adjustRightInd w:val="0"/>
        <w:spacing w:before="120" w:after="120"/>
        <w:ind w:left="360"/>
        <w:jc w:val="both"/>
        <w:rPr>
          <w:rFonts w:ascii="Calibri" w:hAnsi="Calibri" w:cs="Verdana"/>
          <w:color w:val="333333"/>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color w:val="333333"/>
          <w:sz w:val="22"/>
          <w:szCs w:val="22"/>
          <w:lang w:val="pl-PL"/>
        </w:rPr>
      </w:pPr>
      <w:r w:rsidRPr="000D5EB5">
        <w:rPr>
          <w:rFonts w:ascii="Calibri" w:hAnsi="Calibri" w:cs="Verdana"/>
          <w:color w:val="333333"/>
          <w:sz w:val="22"/>
          <w:szCs w:val="22"/>
          <w:lang w:val="pl-PL"/>
        </w:rPr>
        <w:t>- Rezolucja Rady w sprawie odnowionych ram europejskiej współpracy na rzecz młodzieży (2010-2018) – Strategia młodzieżowa UE.</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http://new.eur-lex.europa.eu/legalcontent/EN/TXT/?qid=1390996863108&amp;uri=CELEX:32009G1219%2801%29</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xml:space="preserve">- The EU Youth report: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http://ec.europa.eu/youth/policy/implementation/report_en.htm</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Bold"/>
          <w:b/>
          <w:bCs/>
          <w:sz w:val="22"/>
          <w:szCs w:val="22"/>
          <w:lang w:val="pl-PL"/>
        </w:rPr>
        <w:t>Uznawalność i przejrzystość</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r w:rsidRPr="00746503">
        <w:rPr>
          <w:rFonts w:ascii="Calibri" w:hAnsi="Calibri" w:cs="Verdana"/>
          <w:sz w:val="22"/>
          <w:szCs w:val="22"/>
          <w:lang w:val="de-DE"/>
        </w:rPr>
        <w:t xml:space="preserve">- Europass: </w:t>
      </w:r>
      <w:r w:rsidRPr="00746503">
        <w:rPr>
          <w:rFonts w:ascii="Calibri" w:hAnsi="Calibri" w:cs="Verdana"/>
          <w:color w:val="1A3F7B"/>
          <w:sz w:val="22"/>
          <w:szCs w:val="22"/>
          <w:lang w:val="de-DE"/>
        </w:rPr>
        <w:t>http://europass.cedefop.europa.eu/pl/home</w:t>
      </w:r>
    </w:p>
    <w:p w:rsidR="002523A4" w:rsidRPr="000D5EB5" w:rsidRDefault="002523A4" w:rsidP="00C371FE">
      <w:pPr>
        <w:spacing w:before="120" w:after="120"/>
        <w:ind w:left="360"/>
        <w:jc w:val="both"/>
        <w:rPr>
          <w:rFonts w:ascii="Calibri" w:hAnsi="Calibri" w:cs="Verdana"/>
          <w:color w:val="1A3F7B"/>
          <w:sz w:val="22"/>
          <w:szCs w:val="22"/>
          <w:lang w:val="pl-PL"/>
        </w:rPr>
      </w:pPr>
      <w:r w:rsidRPr="000D5EB5">
        <w:rPr>
          <w:rFonts w:ascii="Calibri" w:hAnsi="Calibri" w:cs="Verdana"/>
          <w:sz w:val="22"/>
          <w:szCs w:val="22"/>
          <w:lang w:val="pl-PL"/>
        </w:rPr>
        <w:t xml:space="preserve">- </w:t>
      </w:r>
      <w:r w:rsidRPr="000D5EB5">
        <w:rPr>
          <w:rFonts w:ascii="Calibri" w:hAnsi="Calibri"/>
          <w:sz w:val="22"/>
          <w:szCs w:val="22"/>
          <w:lang w:val="pl-PL"/>
        </w:rPr>
        <w:t xml:space="preserve"> Europejskie Ramy Kwalifikacji </w:t>
      </w:r>
      <w:r w:rsidRPr="000D5EB5">
        <w:rPr>
          <w:rFonts w:ascii="Calibri" w:hAnsi="Calibri" w:cs="Verdana"/>
          <w:sz w:val="22"/>
          <w:szCs w:val="22"/>
          <w:lang w:val="pl-PL"/>
        </w:rPr>
        <w:t xml:space="preserve">: </w:t>
      </w:r>
      <w:r w:rsidRPr="000D5EB5">
        <w:rPr>
          <w:rFonts w:ascii="Calibri" w:hAnsi="Calibri" w:cs="Verdana"/>
          <w:color w:val="1A3F7B"/>
          <w:sz w:val="22"/>
          <w:szCs w:val="22"/>
          <w:lang w:val="pl-PL"/>
        </w:rPr>
        <w:t>http://ec.europa.eu/eqf/home_en.htm</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sz w:val="22"/>
          <w:szCs w:val="22"/>
        </w:rPr>
        <w:t xml:space="preserve">- </w:t>
      </w:r>
      <w:proofErr w:type="spellStart"/>
      <w:r w:rsidRPr="00746503">
        <w:rPr>
          <w:rFonts w:ascii="Calibri" w:hAnsi="Calibri" w:cs="Verdana"/>
          <w:sz w:val="22"/>
          <w:szCs w:val="22"/>
        </w:rPr>
        <w:t>Youthpass</w:t>
      </w:r>
      <w:proofErr w:type="spellEnd"/>
      <w:r w:rsidRPr="00746503">
        <w:rPr>
          <w:rFonts w:ascii="Calibri" w:hAnsi="Calibri" w:cs="Verdana"/>
          <w:color w:val="1A3F7B"/>
          <w:sz w:val="22"/>
          <w:szCs w:val="22"/>
        </w:rPr>
        <w:t>: https://www.youthpass.eu/pl/youthpass/</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0D5EB5" w:rsidRDefault="002523A4" w:rsidP="00C371FE">
      <w:pPr>
        <w:numPr>
          <w:ilvl w:val="0"/>
          <w:numId w:val="12"/>
        </w:numPr>
        <w:tabs>
          <w:tab w:val="clear" w:pos="360"/>
          <w:tab w:val="num" w:pos="720"/>
        </w:tabs>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Bold"/>
          <w:b/>
          <w:bCs/>
          <w:sz w:val="22"/>
          <w:szCs w:val="22"/>
          <w:lang w:val="pl-PL"/>
        </w:rPr>
        <w:t>Edukacja na rzecz przedsiębiorczości:</w:t>
      </w:r>
    </w:p>
    <w:p w:rsidR="002523A4" w:rsidRPr="000D5EB5" w:rsidRDefault="002523A4" w:rsidP="00C371FE">
      <w:pPr>
        <w:autoSpaceDE w:val="0"/>
        <w:autoSpaceDN w:val="0"/>
        <w:adjustRightInd w:val="0"/>
        <w:spacing w:before="120" w:after="120"/>
        <w:ind w:left="360"/>
        <w:jc w:val="both"/>
        <w:rPr>
          <w:rFonts w:ascii="Calibri" w:hAnsi="Calibri" w:cs="Verdana"/>
          <w:color w:val="1F497C"/>
          <w:sz w:val="22"/>
          <w:szCs w:val="22"/>
          <w:lang w:val="pl-PL"/>
        </w:rPr>
      </w:pPr>
      <w:r w:rsidRPr="000D5EB5">
        <w:rPr>
          <w:rFonts w:ascii="Calibri" w:hAnsi="Calibri" w:cs="Verdana"/>
          <w:sz w:val="22"/>
          <w:szCs w:val="22"/>
          <w:lang w:val="pl-PL"/>
        </w:rPr>
        <w:t xml:space="preserve">- </w:t>
      </w:r>
      <w:r w:rsidRPr="000D5EB5">
        <w:rPr>
          <w:rFonts w:ascii="Calibri" w:hAnsi="Calibri" w:cs="Verdana"/>
          <w:color w:val="1F497C"/>
          <w:sz w:val="22"/>
          <w:szCs w:val="22"/>
          <w:lang w:val="pl-PL"/>
        </w:rPr>
        <w:t>"Plan działania na rzecz przedsiębiorczości do 2020 r." -</w:t>
      </w:r>
    </w:p>
    <w:p w:rsidR="002523A4" w:rsidRPr="000D5EB5" w:rsidRDefault="002E7A18" w:rsidP="00C371FE">
      <w:pPr>
        <w:autoSpaceDE w:val="0"/>
        <w:autoSpaceDN w:val="0"/>
        <w:adjustRightInd w:val="0"/>
        <w:spacing w:before="120" w:after="120"/>
        <w:ind w:left="360"/>
        <w:jc w:val="both"/>
        <w:rPr>
          <w:rFonts w:ascii="Calibri" w:hAnsi="Calibri" w:cs="Verdana"/>
          <w:color w:val="1A3F7B"/>
          <w:sz w:val="22"/>
          <w:szCs w:val="22"/>
          <w:lang w:val="pl-PL"/>
        </w:rPr>
      </w:pPr>
      <w:r>
        <w:fldChar w:fldCharType="begin"/>
      </w:r>
      <w:r w:rsidRPr="002A1F42">
        <w:rPr>
          <w:lang w:val="pl-PL"/>
        </w:rPr>
        <w:instrText>HYPERLINK "http://ec.europa.eu/enterprise/policies/sme/entrepreneurship-2020/index_en.htm"</w:instrText>
      </w:r>
      <w:r>
        <w:fldChar w:fldCharType="separate"/>
      </w:r>
      <w:r w:rsidR="002523A4" w:rsidRPr="000D5EB5">
        <w:rPr>
          <w:rStyle w:val="Hipercze"/>
          <w:rFonts w:ascii="Calibri" w:hAnsi="Calibri"/>
          <w:sz w:val="22"/>
          <w:szCs w:val="22"/>
          <w:lang w:val="pl-PL"/>
        </w:rPr>
        <w:t>http://ec.europa.eu/enterprise/policies/sme/entrepreneurship-2020/index_en.htm</w:t>
      </w:r>
      <w:r>
        <w:fldChar w:fldCharType="end"/>
      </w:r>
      <w:r w:rsidR="002523A4" w:rsidRPr="000D5EB5">
        <w:rPr>
          <w:rFonts w:ascii="Calibri" w:hAnsi="Calibri" w:cs="Verdana"/>
          <w:color w:val="1A3F7B"/>
          <w:sz w:val="22"/>
          <w:szCs w:val="22"/>
          <w:lang w:val="pl-PL"/>
        </w:rPr>
        <w:t xml:space="preserve"> </w:t>
      </w:r>
    </w:p>
    <w:p w:rsidR="002523A4" w:rsidRPr="000D5EB5" w:rsidRDefault="002523A4" w:rsidP="00C371FE">
      <w:pPr>
        <w:autoSpaceDE w:val="0"/>
        <w:autoSpaceDN w:val="0"/>
        <w:adjustRightInd w:val="0"/>
        <w:spacing w:before="120" w:after="120"/>
        <w:ind w:left="360"/>
        <w:jc w:val="both"/>
        <w:rPr>
          <w:rFonts w:ascii="Calibri" w:hAnsi="Calibri" w:cs="Verdana"/>
          <w:color w:val="FF0000"/>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color w:val="FF0000"/>
          <w:sz w:val="22"/>
          <w:szCs w:val="22"/>
        </w:rPr>
      </w:pPr>
      <w:r w:rsidRPr="00746503">
        <w:rPr>
          <w:rFonts w:ascii="Calibri" w:hAnsi="Calibri" w:cs="Verdana"/>
          <w:sz w:val="22"/>
          <w:szCs w:val="22"/>
        </w:rPr>
        <w:t>- "Entrepreneurship education: A Guide for Educators":</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http://ec.europa.eu/enterprise/policies/sme/promoting-entrepreneurship/education-training-entrepreneurship/index_en.htm</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lastRenderedPageBreak/>
        <w:t xml:space="preserve">- "Towards Greater Cooperation and Coherence in Entrepreneurship </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Education" – Report of the High Level Reflection Panels on Entrepreneurship</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Education initiated by Directorate General Enterprise and Industry and</w:t>
      </w:r>
    </w:p>
    <w:p w:rsidR="002523A4" w:rsidRPr="00746503" w:rsidRDefault="002523A4" w:rsidP="00C371FE">
      <w:pPr>
        <w:autoSpaceDE w:val="0"/>
        <w:autoSpaceDN w:val="0"/>
        <w:adjustRightInd w:val="0"/>
        <w:spacing w:before="120" w:after="120"/>
        <w:ind w:left="360"/>
        <w:rPr>
          <w:rFonts w:ascii="Calibri" w:hAnsi="Calibri" w:cs="Verdana"/>
          <w:color w:val="1A3F7B"/>
          <w:sz w:val="22"/>
          <w:szCs w:val="22"/>
        </w:rPr>
      </w:pPr>
      <w:r w:rsidRPr="00746503">
        <w:rPr>
          <w:rFonts w:ascii="Calibri" w:hAnsi="Calibri" w:cs="Verdana"/>
          <w:sz w:val="22"/>
          <w:szCs w:val="22"/>
        </w:rPr>
        <w:t xml:space="preserve">Directorate General Education and Culture: </w:t>
      </w:r>
      <w:r w:rsidRPr="00746503">
        <w:rPr>
          <w:rFonts w:ascii="Calibri" w:hAnsi="Calibri" w:cs="Verdana"/>
          <w:color w:val="1A3F7B"/>
          <w:sz w:val="22"/>
          <w:szCs w:val="22"/>
        </w:rPr>
        <w:t>http://ec.europa.eu/enterprise/policies/sme/promotingentrepreneurship/</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education-training-entrepreneurship/</w:t>
      </w:r>
      <w:proofErr w:type="spellStart"/>
      <w:r w:rsidRPr="00746503">
        <w:rPr>
          <w:rFonts w:ascii="Calibri" w:hAnsi="Calibri" w:cs="Verdana"/>
          <w:color w:val="1A3F7B"/>
          <w:sz w:val="22"/>
          <w:szCs w:val="22"/>
        </w:rPr>
        <w:t>reflectionpanels</w:t>
      </w:r>
      <w:proofErr w:type="spellEnd"/>
      <w:r w:rsidRPr="00746503">
        <w:rPr>
          <w:rFonts w:ascii="Calibri" w:hAnsi="Calibri" w:cs="Verdana"/>
          <w:color w:val="1A3F7B"/>
          <w:sz w:val="22"/>
          <w:szCs w:val="22"/>
        </w:rPr>
        <w:t>/</w:t>
      </w:r>
    </w:p>
    <w:p w:rsidR="002523A4" w:rsidRPr="00746503" w:rsidRDefault="002523A4" w:rsidP="00C371FE">
      <w:pPr>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files/entr_education_panel_en.pdf</w:t>
      </w:r>
    </w:p>
    <w:p w:rsidR="002523A4" w:rsidRPr="00746503" w:rsidRDefault="002523A4" w:rsidP="00C371FE">
      <w:pPr>
        <w:spacing w:before="120" w:after="120"/>
        <w:jc w:val="both"/>
        <w:rPr>
          <w:rFonts w:ascii="Calibri" w:hAnsi="Calibri" w:cs="Verdana"/>
          <w:color w:val="1A3F7B"/>
          <w:sz w:val="22"/>
          <w:szCs w:val="22"/>
        </w:rPr>
      </w:pPr>
    </w:p>
    <w:p w:rsidR="002523A4" w:rsidRPr="00746503" w:rsidRDefault="002523A4" w:rsidP="00C371FE">
      <w:pPr>
        <w:spacing w:before="120" w:after="120"/>
        <w:jc w:val="both"/>
        <w:rPr>
          <w:rFonts w:ascii="Calibri" w:hAnsi="Calibri" w:cs="Verdana"/>
          <w:color w:val="1A3F7B"/>
          <w:sz w:val="22"/>
          <w:szCs w:val="22"/>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Bold"/>
          <w:b/>
          <w:bCs/>
          <w:sz w:val="22"/>
          <w:szCs w:val="22"/>
          <w:lang w:val="pl-PL"/>
        </w:rPr>
        <w:t>Technologie Informacyjno-Komunikacyjne (TIK) i Otwarte zasoby edukacyjne (OZE):</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The Future of Learning: New Ways to Learn New Skills for Future Jobs:</w:t>
      </w:r>
    </w:p>
    <w:p w:rsidR="002523A4" w:rsidRPr="00746503" w:rsidRDefault="002E7A18" w:rsidP="00C371FE">
      <w:pPr>
        <w:autoSpaceDE w:val="0"/>
        <w:autoSpaceDN w:val="0"/>
        <w:adjustRightInd w:val="0"/>
        <w:spacing w:before="120" w:after="120"/>
        <w:ind w:left="360"/>
        <w:jc w:val="both"/>
        <w:rPr>
          <w:rFonts w:ascii="Calibri" w:hAnsi="Calibri" w:cs="Verdana"/>
          <w:color w:val="1A3F7B"/>
          <w:sz w:val="22"/>
          <w:szCs w:val="22"/>
        </w:rPr>
      </w:pPr>
      <w:hyperlink r:id="rId10" w:history="1">
        <w:r w:rsidR="002523A4" w:rsidRPr="00746503">
          <w:rPr>
            <w:rStyle w:val="Hipercze"/>
            <w:rFonts w:ascii="Calibri" w:hAnsi="Calibri"/>
            <w:sz w:val="22"/>
            <w:szCs w:val="22"/>
          </w:rPr>
          <w:t>http://is.jrc.ec.europa.eu/pages/EAP/ForCiel.html</w:t>
        </w:r>
      </w:hyperlink>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sz w:val="22"/>
          <w:szCs w:val="22"/>
        </w:rPr>
        <w:t xml:space="preserve">- Opening up Education: </w:t>
      </w:r>
      <w:r w:rsidRPr="00746503">
        <w:rPr>
          <w:rFonts w:ascii="Calibri" w:hAnsi="Calibri" w:cs="Verdana"/>
          <w:color w:val="1A3F7B"/>
          <w:sz w:val="22"/>
          <w:szCs w:val="22"/>
        </w:rPr>
        <w:t>http://ec.europa.eu/education/policy/strategicframework/</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 xml:space="preserve">education-technology.htm </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Open Educational Resources and practices in Europe:</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 xml:space="preserve">http://is.jrc.ec.europa.eu/pages/EAP/OEREU.html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Up-scaling Creative Classrooms in Europe</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 xml:space="preserve">http://is.jrc.ec.europa.eu/pages/EAP/SCALECCR.html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Digital Competence: Identification and European-wide validation of its key</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components for all levels of learners:</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 xml:space="preserve">http://is.jrc.ec.europa.eu/pages/EAP/DIGCOMP.html </w:t>
      </w:r>
    </w:p>
    <w:p w:rsidR="002523A4" w:rsidRPr="00746503" w:rsidRDefault="002523A4" w:rsidP="00C371FE">
      <w:pPr>
        <w:autoSpaceDE w:val="0"/>
        <w:autoSpaceDN w:val="0"/>
        <w:adjustRightInd w:val="0"/>
        <w:spacing w:before="120" w:after="120"/>
        <w:ind w:left="360"/>
        <w:jc w:val="both"/>
        <w:rPr>
          <w:rFonts w:ascii="Calibri" w:hAnsi="Calibri" w:cs="Verdana"/>
          <w:color w:val="FF0000"/>
          <w:sz w:val="22"/>
          <w:szCs w:val="22"/>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Bold"/>
          <w:b/>
          <w:bCs/>
          <w:sz w:val="22"/>
          <w:szCs w:val="22"/>
          <w:lang w:val="pl-PL"/>
        </w:rPr>
        <w:t>Wielojęzyczność:</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Commission Staff Working Document: "Language Competences for</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sz w:val="22"/>
          <w:szCs w:val="22"/>
        </w:rPr>
        <w:t xml:space="preserve">employability, mobility and growth": </w:t>
      </w:r>
      <w:r w:rsidRPr="00746503">
        <w:rPr>
          <w:rFonts w:ascii="Calibri" w:hAnsi="Calibri" w:cs="Verdana"/>
          <w:color w:val="1A3F7B"/>
          <w:sz w:val="22"/>
          <w:szCs w:val="22"/>
        </w:rPr>
        <w:t>http://new.eur-lex.europa.eu/legalcontent/</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r w:rsidRPr="00746503">
        <w:rPr>
          <w:rFonts w:ascii="Calibri" w:hAnsi="Calibri" w:cs="Verdana"/>
          <w:color w:val="1A3F7B"/>
          <w:sz w:val="22"/>
          <w:szCs w:val="22"/>
          <w:lang w:val="de-DE"/>
        </w:rPr>
        <w:t>EN/TXT/PDF/?</w:t>
      </w:r>
      <w:proofErr w:type="spellStart"/>
      <w:r w:rsidRPr="00746503">
        <w:rPr>
          <w:rFonts w:ascii="Calibri" w:hAnsi="Calibri" w:cs="Verdana"/>
          <w:color w:val="1A3F7B"/>
          <w:sz w:val="22"/>
          <w:szCs w:val="22"/>
          <w:lang w:val="de-DE"/>
        </w:rPr>
        <w:t>uri</w:t>
      </w:r>
      <w:proofErr w:type="spellEnd"/>
      <w:r w:rsidRPr="00746503">
        <w:rPr>
          <w:rFonts w:ascii="Calibri" w:hAnsi="Calibri" w:cs="Verdana"/>
          <w:color w:val="1A3F7B"/>
          <w:sz w:val="22"/>
          <w:szCs w:val="22"/>
          <w:lang w:val="de-DE"/>
        </w:rPr>
        <w:t xml:space="preserve">=CELEX:52012SC0372&amp;from=EN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Report from the Thematic Working Group “Languages for Jobs – providing</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xml:space="preserve">multilingual communication skills for the </w:t>
      </w:r>
      <w:proofErr w:type="spellStart"/>
      <w:r w:rsidRPr="00746503">
        <w:rPr>
          <w:rFonts w:ascii="Calibri" w:hAnsi="Calibri" w:cs="Verdana"/>
          <w:sz w:val="22"/>
          <w:szCs w:val="22"/>
        </w:rPr>
        <w:t>labour</w:t>
      </w:r>
      <w:proofErr w:type="spellEnd"/>
      <w:r w:rsidRPr="00746503">
        <w:rPr>
          <w:rFonts w:ascii="Calibri" w:hAnsi="Calibri" w:cs="Verdana"/>
          <w:sz w:val="22"/>
          <w:szCs w:val="22"/>
        </w:rPr>
        <w:t xml:space="preserve"> market”:</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http://ec.europa.eu/languages/policy/strategicframework/</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 xml:space="preserve">documents/languages-for-jobs-report_en.pdf </w:t>
      </w:r>
    </w:p>
    <w:p w:rsidR="002523A4" w:rsidRPr="00746503" w:rsidRDefault="002523A4" w:rsidP="00C371FE">
      <w:pPr>
        <w:autoSpaceDE w:val="0"/>
        <w:autoSpaceDN w:val="0"/>
        <w:adjustRightInd w:val="0"/>
        <w:spacing w:before="120" w:after="120"/>
        <w:jc w:val="both"/>
        <w:rPr>
          <w:rFonts w:ascii="Calibri" w:hAnsi="Calibri" w:cs="Verdana,Bold"/>
          <w:b/>
          <w:bCs/>
          <w:color w:val="263672"/>
          <w:sz w:val="22"/>
          <w:szCs w:val="22"/>
        </w:rPr>
      </w:pPr>
    </w:p>
    <w:p w:rsidR="002523A4" w:rsidRPr="000D5EB5" w:rsidRDefault="002523A4" w:rsidP="00C371FE">
      <w:pPr>
        <w:autoSpaceDE w:val="0"/>
        <w:autoSpaceDN w:val="0"/>
        <w:adjustRightInd w:val="0"/>
        <w:spacing w:before="120" w:after="120"/>
        <w:jc w:val="both"/>
        <w:rPr>
          <w:rFonts w:ascii="Calibri" w:hAnsi="Calibri" w:cs="Verdana,Bold"/>
          <w:b/>
          <w:bCs/>
          <w:color w:val="1F497D"/>
          <w:sz w:val="22"/>
          <w:szCs w:val="22"/>
          <w:lang w:val="pl-PL"/>
        </w:rPr>
      </w:pPr>
      <w:r w:rsidRPr="000D5EB5">
        <w:rPr>
          <w:rFonts w:ascii="Calibri" w:hAnsi="Calibri" w:cs="Verdana,Bold"/>
          <w:b/>
          <w:bCs/>
          <w:color w:val="263672"/>
          <w:sz w:val="22"/>
          <w:szCs w:val="22"/>
          <w:lang w:val="pl-PL"/>
        </w:rPr>
        <w:t xml:space="preserve">5.B </w:t>
      </w:r>
      <w:r w:rsidRPr="000D5EB5">
        <w:rPr>
          <w:rFonts w:ascii="Calibri" w:hAnsi="Calibri" w:cs="Verdana,Bold"/>
          <w:b/>
          <w:bCs/>
          <w:color w:val="1F497D"/>
          <w:sz w:val="22"/>
          <w:szCs w:val="22"/>
          <w:lang w:val="pl-PL"/>
        </w:rPr>
        <w:t>Priorytety w sektorze edukacji szkolnej</w:t>
      </w: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
          <w:sz w:val="22"/>
          <w:szCs w:val="22"/>
          <w:lang w:val="pl-PL"/>
        </w:rPr>
        <w:t xml:space="preserve">Podniesienie poziomu osiągnięć w nauce młodych ludzi, szczególnie tych zagrożonych </w:t>
      </w:r>
      <w:r w:rsidRPr="000D5EB5">
        <w:rPr>
          <w:rFonts w:ascii="Calibri" w:hAnsi="Calibri" w:cs="Verdana,Bold"/>
          <w:b/>
          <w:bCs/>
          <w:sz w:val="22"/>
          <w:szCs w:val="22"/>
          <w:lang w:val="pl-PL"/>
        </w:rPr>
        <w:t>przedwczesnym kończeniem nauki</w:t>
      </w:r>
    </w:p>
    <w:p w:rsidR="002523A4" w:rsidRPr="000D5EB5" w:rsidRDefault="002523A4" w:rsidP="00C371FE">
      <w:pPr>
        <w:autoSpaceDE w:val="0"/>
        <w:autoSpaceDN w:val="0"/>
        <w:adjustRightInd w:val="0"/>
        <w:spacing w:before="120" w:after="120"/>
        <w:jc w:val="both"/>
        <w:rPr>
          <w:rFonts w:ascii="Calibri" w:hAnsi="Calibri" w:cs="Verdana,Bold"/>
          <w:b/>
          <w:bCs/>
          <w:sz w:val="22"/>
          <w:szCs w:val="22"/>
          <w:lang w:val="pl-PL"/>
        </w:rPr>
      </w:pPr>
    </w:p>
    <w:p w:rsidR="002523A4" w:rsidRPr="000D5EB5" w:rsidRDefault="002523A4" w:rsidP="00C371FE">
      <w:pPr>
        <w:spacing w:before="120" w:after="120"/>
        <w:ind w:left="360"/>
        <w:jc w:val="both"/>
        <w:rPr>
          <w:rFonts w:ascii="Calibri" w:hAnsi="Calibri"/>
          <w:sz w:val="22"/>
          <w:szCs w:val="22"/>
          <w:lang w:val="pl-PL"/>
        </w:rPr>
      </w:pPr>
      <w:r w:rsidRPr="000D5EB5">
        <w:rPr>
          <w:rFonts w:ascii="Calibri" w:hAnsi="Calibri" w:cs="Verdana"/>
          <w:sz w:val="22"/>
          <w:szCs w:val="22"/>
          <w:lang w:val="pl-PL"/>
        </w:rPr>
        <w:t>- Z</w:t>
      </w:r>
      <w:r w:rsidRPr="000D5EB5">
        <w:rPr>
          <w:rFonts w:ascii="Calibri" w:hAnsi="Calibri"/>
          <w:sz w:val="22"/>
          <w:szCs w:val="22"/>
          <w:lang w:val="pl-PL"/>
        </w:rPr>
        <w:t>alecenie rady</w:t>
      </w:r>
      <w:r w:rsidRPr="000D5EB5">
        <w:rPr>
          <w:rFonts w:ascii="Calibri" w:hAnsi="Calibri" w:cs="Verdana"/>
          <w:sz w:val="22"/>
          <w:szCs w:val="22"/>
          <w:lang w:val="pl-PL"/>
        </w:rPr>
        <w:t xml:space="preserve"> </w:t>
      </w:r>
      <w:r w:rsidRPr="000D5EB5">
        <w:rPr>
          <w:rFonts w:ascii="Calibri" w:hAnsi="Calibri"/>
          <w:sz w:val="22"/>
          <w:szCs w:val="22"/>
          <w:lang w:val="pl-PL"/>
        </w:rPr>
        <w:t>w sprawie polityki na rzecz ograniczania zjawiska przedwczesnego kończenia nauki</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http://eur-lex.europa.eu/LexUriServ/LexUriServ.do?uri=OJ:C:2011:191:0001:0006:PL:PDF</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Komunikat Komisji „Przeciwdziałanie zjawisku przedwczesnego kończenia nauki: kluczowy wkład w realizację strategii „Europa 2020”:</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http://eur-lex.europa.eu/LexUriServ/LexUriServ.do?uri=COM:2011:0018:FIN:PL:PDF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Final Report of the Thematic Working Group on Early School Leaving</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http://ec.europa.eu/education/policy/strategic-framework/doc/esl-groupreport_</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roofErr w:type="spellStart"/>
      <w:r w:rsidRPr="000D5EB5">
        <w:rPr>
          <w:rFonts w:ascii="Calibri" w:hAnsi="Calibri" w:cs="Verdana"/>
          <w:color w:val="1A3F7B"/>
          <w:sz w:val="22"/>
          <w:szCs w:val="22"/>
          <w:lang w:val="pl-PL"/>
        </w:rPr>
        <w:t>en.pdf</w:t>
      </w:r>
      <w:proofErr w:type="spellEnd"/>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Dalsze informacje nt przedwczesnego kończenia nauki można znaleźć na stronie:</w:t>
      </w:r>
    </w:p>
    <w:p w:rsidR="002523A4" w:rsidRPr="000D5EB5" w:rsidRDefault="002523A4" w:rsidP="00C371FE">
      <w:pPr>
        <w:spacing w:before="120" w:after="120"/>
        <w:ind w:left="360"/>
        <w:jc w:val="both"/>
        <w:rPr>
          <w:rFonts w:ascii="Calibri" w:hAnsi="Calibri" w:cs="Verdana"/>
          <w:color w:val="FF0000"/>
          <w:sz w:val="22"/>
          <w:szCs w:val="22"/>
          <w:lang w:val="pl-PL"/>
        </w:rPr>
      </w:pPr>
      <w:r w:rsidRPr="000D5EB5">
        <w:rPr>
          <w:rFonts w:ascii="Calibri" w:hAnsi="Calibri" w:cs="Verdana"/>
          <w:color w:val="1A3F7B"/>
          <w:sz w:val="22"/>
          <w:szCs w:val="22"/>
          <w:lang w:val="pl-PL"/>
        </w:rPr>
        <w:t xml:space="preserve">http://ec.europa.eu/education/policy/school/early-school-leavers_en.htm </w:t>
      </w:r>
    </w:p>
    <w:p w:rsidR="002523A4" w:rsidRPr="000D5EB5" w:rsidRDefault="002523A4" w:rsidP="00C371FE">
      <w:pPr>
        <w:spacing w:before="120" w:after="120"/>
        <w:jc w:val="both"/>
        <w:rPr>
          <w:rFonts w:ascii="Calibri" w:hAnsi="Calibri" w:cs="Verdana"/>
          <w:color w:val="FF0000"/>
          <w:sz w:val="22"/>
          <w:szCs w:val="22"/>
          <w:lang w:val="pl-PL"/>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
          <w:sz w:val="22"/>
          <w:szCs w:val="22"/>
          <w:lang w:val="pl-PL"/>
        </w:rPr>
        <w:t xml:space="preserve">Podniesienie poziomu osiągnięć w nauce młodych ludzi z niskim poziomem </w:t>
      </w:r>
      <w:r w:rsidRPr="000D5EB5">
        <w:rPr>
          <w:rFonts w:ascii="Calibri" w:hAnsi="Calibri" w:cs="Verdana,Bold"/>
          <w:b/>
          <w:bCs/>
          <w:sz w:val="22"/>
          <w:szCs w:val="22"/>
          <w:lang w:val="pl-PL"/>
        </w:rPr>
        <w:t>podstawowych umiejętności</w:t>
      </w:r>
    </w:p>
    <w:p w:rsidR="002523A4" w:rsidRPr="000D5EB5" w:rsidRDefault="002523A4" w:rsidP="00C371FE">
      <w:pPr>
        <w:autoSpaceDE w:val="0"/>
        <w:autoSpaceDN w:val="0"/>
        <w:adjustRightInd w:val="0"/>
        <w:spacing w:before="120" w:after="120"/>
        <w:ind w:left="360"/>
        <w:jc w:val="both"/>
        <w:rPr>
          <w:rFonts w:ascii="Calibri" w:hAnsi="Calibri" w:cs="Verdana,Bold"/>
          <w:b/>
          <w:bCs/>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Europejskie ramy odniesienia dla kompetencji kluczowych:</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http://europa.eu/legislation_summaries/education_training_youth/lifelong_l</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roofErr w:type="spellStart"/>
      <w:r w:rsidRPr="000D5EB5">
        <w:rPr>
          <w:rFonts w:ascii="Calibri" w:hAnsi="Calibri" w:cs="Verdana"/>
          <w:color w:val="1A3F7B"/>
          <w:sz w:val="22"/>
          <w:szCs w:val="22"/>
          <w:lang w:val="pl-PL"/>
        </w:rPr>
        <w:t>earning</w:t>
      </w:r>
      <w:proofErr w:type="spellEnd"/>
      <w:r w:rsidRPr="000D5EB5">
        <w:rPr>
          <w:rFonts w:ascii="Calibri" w:hAnsi="Calibri" w:cs="Verdana"/>
          <w:color w:val="1A3F7B"/>
          <w:sz w:val="22"/>
          <w:szCs w:val="22"/>
          <w:lang w:val="pl-PL"/>
        </w:rPr>
        <w:t xml:space="preserve">/c11090_en.htm </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Konkluzje Rady z dnia 26 listopada 2012 r. w sprawie umiejętności czytania:</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http://eur-lex.europa.eu/LexUriServ/LexUriServ.do?uri=OJ:C:2012:393:0001:0004:PL:PDF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Final Report of the EU High Level Group of experts on Literacy:</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http://ec.europa.eu/education/policy/school/doc/literacy-report_en.pdf</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Commission staff working document: "Assessment of Key Competences in</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initial education and training: Policy Guidance":</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http://eurlex.</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europa.eu/</w:t>
      </w:r>
      <w:proofErr w:type="spellStart"/>
      <w:r w:rsidRPr="00746503">
        <w:rPr>
          <w:rFonts w:ascii="Calibri" w:hAnsi="Calibri" w:cs="Verdana"/>
          <w:color w:val="1A3F7B"/>
          <w:sz w:val="22"/>
          <w:szCs w:val="22"/>
        </w:rPr>
        <w:t>LexUriServ</w:t>
      </w:r>
      <w:proofErr w:type="spellEnd"/>
      <w:r w:rsidRPr="00746503">
        <w:rPr>
          <w:rFonts w:ascii="Calibri" w:hAnsi="Calibri" w:cs="Verdana"/>
          <w:color w:val="1A3F7B"/>
          <w:sz w:val="22"/>
          <w:szCs w:val="22"/>
        </w:rPr>
        <w:t>/</w:t>
      </w:r>
      <w:proofErr w:type="spellStart"/>
      <w:r w:rsidRPr="00746503">
        <w:rPr>
          <w:rFonts w:ascii="Calibri" w:hAnsi="Calibri" w:cs="Verdana"/>
          <w:color w:val="1A3F7B"/>
          <w:sz w:val="22"/>
          <w:szCs w:val="22"/>
        </w:rPr>
        <w:t>LexUriServ.do?uri</w:t>
      </w:r>
      <w:proofErr w:type="spellEnd"/>
      <w:r w:rsidRPr="00746503">
        <w:rPr>
          <w:rFonts w:ascii="Calibri" w:hAnsi="Calibri" w:cs="Verdana"/>
          <w:color w:val="1A3F7B"/>
          <w:sz w:val="22"/>
          <w:szCs w:val="22"/>
        </w:rPr>
        <w:t>=SWD:2012:0371:FIN:EN:PDF</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Konkluzje Rady w sprawie podnoszenia poziomu podstawowych umiejętności</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lastRenderedPageBreak/>
        <w:t xml:space="preserve"> w kontekście europejskiej współpracy na rzecz </w:t>
      </w:r>
      <w:proofErr w:type="spellStart"/>
      <w:r w:rsidRPr="000D5EB5">
        <w:rPr>
          <w:rFonts w:ascii="Calibri" w:hAnsi="Calibri" w:cs="Verdana"/>
          <w:sz w:val="22"/>
          <w:szCs w:val="22"/>
          <w:lang w:val="pl-PL"/>
        </w:rPr>
        <w:t>szkół</w:t>
      </w:r>
      <w:proofErr w:type="spellEnd"/>
      <w:r w:rsidRPr="000D5EB5">
        <w:rPr>
          <w:rFonts w:ascii="Calibri" w:hAnsi="Calibri" w:cs="Verdana"/>
          <w:sz w:val="22"/>
          <w:szCs w:val="22"/>
          <w:lang w:val="pl-PL"/>
        </w:rPr>
        <w:t xml:space="preserve"> na miarę XXI wieku:</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http://eur-lex.europa.eu/LexUriServ/LexUriServ.do?uri=OJ:C:2010:323:0011:0014:PL:PDF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Dalsze informacje nt podstawowych umiejętności można znaleźć na stronie:</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http://ec.europa.eu/education/policy/school/math_en.htm </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
          <w:sz w:val="22"/>
          <w:szCs w:val="22"/>
          <w:lang w:val="pl-PL"/>
        </w:rPr>
        <w:t xml:space="preserve">Opracowywanie wysokiej jakości i dostępnej </w:t>
      </w:r>
      <w:r w:rsidRPr="000D5EB5">
        <w:rPr>
          <w:rFonts w:ascii="Calibri" w:hAnsi="Calibri" w:cs="Verdana,Bold"/>
          <w:b/>
          <w:bCs/>
          <w:sz w:val="22"/>
          <w:szCs w:val="22"/>
          <w:lang w:val="pl-PL"/>
        </w:rPr>
        <w:t>wczesnej edukacji i opieki na dzieckiem</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xml:space="preserve">- Komunikat Komisji: Wczesna </w:t>
      </w:r>
      <w:proofErr w:type="spellStart"/>
      <w:r w:rsidRPr="000D5EB5">
        <w:rPr>
          <w:rFonts w:ascii="Calibri" w:hAnsi="Calibri" w:cs="Verdana"/>
          <w:sz w:val="22"/>
          <w:szCs w:val="22"/>
          <w:lang w:val="pl-PL"/>
        </w:rPr>
        <w:t>edukacja</w:t>
      </w:r>
      <w:proofErr w:type="spellEnd"/>
      <w:r w:rsidRPr="000D5EB5">
        <w:rPr>
          <w:rFonts w:ascii="Calibri" w:hAnsi="Calibri" w:cs="Verdana"/>
          <w:sz w:val="22"/>
          <w:szCs w:val="22"/>
          <w:lang w:val="pl-PL"/>
        </w:rPr>
        <w:t xml:space="preserve"> i opieka nad dzieckiem: zagwarantujmy wszystkim dzieciom w UE dobry start w przyszłość:</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roofErr w:type="spellStart"/>
      <w:r w:rsidRPr="000D5EB5">
        <w:rPr>
          <w:rFonts w:ascii="Calibri" w:hAnsi="Calibri" w:cs="Verdana"/>
          <w:color w:val="1A3F7B"/>
          <w:sz w:val="22"/>
          <w:szCs w:val="22"/>
          <w:lang w:val="pl-PL"/>
        </w:rPr>
        <w:t>europa.eu</w:t>
      </w:r>
      <w:proofErr w:type="spellEnd"/>
      <w:r w:rsidRPr="000D5EB5">
        <w:rPr>
          <w:rFonts w:ascii="Calibri" w:hAnsi="Calibri" w:cs="Verdana"/>
          <w:color w:val="1A3F7B"/>
          <w:sz w:val="22"/>
          <w:szCs w:val="22"/>
          <w:lang w:val="pl-PL"/>
        </w:rPr>
        <w:t>/</w:t>
      </w:r>
      <w:proofErr w:type="spellStart"/>
      <w:r w:rsidRPr="000D5EB5">
        <w:rPr>
          <w:rFonts w:ascii="Calibri" w:hAnsi="Calibri" w:cs="Verdana"/>
          <w:color w:val="1A3F7B"/>
          <w:sz w:val="22"/>
          <w:szCs w:val="22"/>
          <w:lang w:val="pl-PL"/>
        </w:rPr>
        <w:t>LexUriServ</w:t>
      </w:r>
      <w:proofErr w:type="spellEnd"/>
      <w:r w:rsidRPr="000D5EB5">
        <w:rPr>
          <w:rFonts w:ascii="Calibri" w:hAnsi="Calibri" w:cs="Verdana"/>
          <w:color w:val="1A3F7B"/>
          <w:sz w:val="22"/>
          <w:szCs w:val="22"/>
          <w:lang w:val="pl-PL"/>
        </w:rPr>
        <w:t>/LexUriServ.do?uri=COM:2011:0066:FIN:PL:PDF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Konkluzje Rady w sprawie wczesnej edukacji i opieki nad dzieckiem: zagwarantujmy wszystkim dzieciom w UE dobry start w przyszłość:</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europa.eu/LexUriServ/LexUriServ.do?uri=OJ:C:2011:175:0008:0010:PL:PDF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Dalsze informacje nt wczesnej edukacji i opieki nad dzieckiem można znaleźć na stronie:</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http://ec.europa.eu/education/policy/school/early-childhood_en.htm </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numPr>
          <w:ilvl w:val="0"/>
          <w:numId w:val="12"/>
        </w:numPr>
        <w:autoSpaceDE w:val="0"/>
        <w:autoSpaceDN w:val="0"/>
        <w:adjustRightInd w:val="0"/>
        <w:spacing w:before="120" w:after="120"/>
        <w:jc w:val="both"/>
        <w:rPr>
          <w:rFonts w:ascii="Calibri" w:hAnsi="Calibri" w:cs="Verdana,Bold"/>
          <w:b/>
          <w:bCs/>
          <w:sz w:val="22"/>
          <w:szCs w:val="22"/>
          <w:lang w:val="pl-PL"/>
        </w:rPr>
      </w:pPr>
      <w:r w:rsidRPr="000D5EB5">
        <w:rPr>
          <w:rFonts w:ascii="Calibri" w:hAnsi="Calibri" w:cs="Verdana"/>
          <w:sz w:val="22"/>
          <w:szCs w:val="22"/>
          <w:lang w:val="pl-PL"/>
        </w:rPr>
        <w:t xml:space="preserve">Zmiana i wzmocnienie profilu zawodowego </w:t>
      </w:r>
      <w:r w:rsidRPr="000D5EB5">
        <w:rPr>
          <w:rFonts w:ascii="Calibri" w:hAnsi="Calibri" w:cs="Verdana"/>
          <w:b/>
          <w:sz w:val="22"/>
          <w:szCs w:val="22"/>
          <w:lang w:val="pl-PL"/>
        </w:rPr>
        <w:t>nauczycieli</w:t>
      </w:r>
      <w:r w:rsidRPr="000D5EB5">
        <w:rPr>
          <w:rFonts w:ascii="Calibri" w:hAnsi="Calibri" w:cs="Verdana"/>
          <w:sz w:val="22"/>
          <w:szCs w:val="22"/>
          <w:lang w:val="pl-PL"/>
        </w:rPr>
        <w:t>:</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Commission staff working document: "Supporting the Teaching Professions</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for Better Learning Outcomes":</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http://eurlex.</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r w:rsidRPr="00746503">
        <w:rPr>
          <w:rFonts w:ascii="Calibri" w:hAnsi="Calibri" w:cs="Verdana"/>
          <w:color w:val="1A3F7B"/>
          <w:sz w:val="22"/>
          <w:szCs w:val="22"/>
          <w:lang w:val="de-DE"/>
        </w:rPr>
        <w:t>europa.eu/</w:t>
      </w:r>
      <w:proofErr w:type="spellStart"/>
      <w:r w:rsidRPr="00746503">
        <w:rPr>
          <w:rFonts w:ascii="Calibri" w:hAnsi="Calibri" w:cs="Verdana"/>
          <w:color w:val="1A3F7B"/>
          <w:sz w:val="22"/>
          <w:szCs w:val="22"/>
          <w:lang w:val="de-DE"/>
        </w:rPr>
        <w:t>LexUriServ</w:t>
      </w:r>
      <w:proofErr w:type="spellEnd"/>
      <w:r w:rsidRPr="00746503">
        <w:rPr>
          <w:rFonts w:ascii="Calibri" w:hAnsi="Calibri" w:cs="Verdana"/>
          <w:color w:val="1A3F7B"/>
          <w:sz w:val="22"/>
          <w:szCs w:val="22"/>
          <w:lang w:val="de-DE"/>
        </w:rPr>
        <w:t>/</w:t>
      </w:r>
      <w:proofErr w:type="spellStart"/>
      <w:r w:rsidRPr="00746503">
        <w:rPr>
          <w:rFonts w:ascii="Calibri" w:hAnsi="Calibri" w:cs="Verdana"/>
          <w:color w:val="1A3F7B"/>
          <w:sz w:val="22"/>
          <w:szCs w:val="22"/>
          <w:lang w:val="de-DE"/>
        </w:rPr>
        <w:t>LexUriServ.do?uri</w:t>
      </w:r>
      <w:proofErr w:type="spellEnd"/>
      <w:r w:rsidRPr="00746503">
        <w:rPr>
          <w:rFonts w:ascii="Calibri" w:hAnsi="Calibri" w:cs="Verdana"/>
          <w:color w:val="1A3F7B"/>
          <w:sz w:val="22"/>
          <w:szCs w:val="22"/>
          <w:lang w:val="de-DE"/>
        </w:rPr>
        <w:t>=SWD:2012:0374:FIN:EN:PDF</w:t>
      </w:r>
    </w:p>
    <w:p w:rsidR="002523A4" w:rsidRPr="00746503" w:rsidRDefault="002523A4" w:rsidP="00C371FE">
      <w:pPr>
        <w:spacing w:before="120" w:after="120"/>
        <w:ind w:left="360"/>
        <w:jc w:val="both"/>
        <w:rPr>
          <w:rFonts w:ascii="Calibri" w:hAnsi="Calibri" w:cs="Verdana"/>
          <w:color w:val="FF0000"/>
          <w:sz w:val="22"/>
          <w:szCs w:val="22"/>
          <w:lang w:val="de-DE"/>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xml:space="preserve">- Konkluzje Rady z dnia 26 listopada 2009 r. w sprawie doskonalenia zawodowego nauczycieli i kadry kierowniczej </w:t>
      </w:r>
      <w:proofErr w:type="spellStart"/>
      <w:r w:rsidRPr="000D5EB5">
        <w:rPr>
          <w:rFonts w:ascii="Calibri" w:hAnsi="Calibri" w:cs="Verdana"/>
          <w:sz w:val="22"/>
          <w:szCs w:val="22"/>
          <w:lang w:val="pl-PL"/>
        </w:rPr>
        <w:t>szkół</w:t>
      </w:r>
      <w:proofErr w:type="spellEnd"/>
      <w:r w:rsidRPr="000D5EB5">
        <w:rPr>
          <w:rFonts w:ascii="Calibri" w:hAnsi="Calibri" w:cs="Verdana"/>
          <w:sz w:val="22"/>
          <w:szCs w:val="22"/>
          <w:lang w:val="pl-PL"/>
        </w:rPr>
        <w:t>:</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europa.eu/LexUriServ/LexUriServ.do?uri=OJ:C:2009:302:0006:0009:PL:PDF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Council conclusions on effective leadership in education:</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http://www.consilium.europa.eu/uedocs/cms_data/docs/pressdata/en/educ</w:t>
      </w:r>
    </w:p>
    <w:p w:rsidR="002523A4" w:rsidRPr="000D5EB5" w:rsidRDefault="002523A4" w:rsidP="00C371FE">
      <w:pPr>
        <w:autoSpaceDE w:val="0"/>
        <w:autoSpaceDN w:val="0"/>
        <w:adjustRightInd w:val="0"/>
        <w:spacing w:before="120" w:after="120"/>
        <w:ind w:left="360"/>
        <w:jc w:val="both"/>
        <w:rPr>
          <w:rFonts w:ascii="Calibri" w:hAnsi="Calibri" w:cs="Verdana"/>
          <w:color w:val="FF0000"/>
          <w:sz w:val="22"/>
          <w:szCs w:val="22"/>
          <w:lang w:val="pl-PL"/>
        </w:rPr>
      </w:pPr>
      <w:r w:rsidRPr="000D5EB5">
        <w:rPr>
          <w:rFonts w:ascii="Calibri" w:hAnsi="Calibri" w:cs="Verdana"/>
          <w:color w:val="1A3F7B"/>
          <w:sz w:val="22"/>
          <w:szCs w:val="22"/>
          <w:lang w:val="pl-PL"/>
        </w:rPr>
        <w:t>/139715.pdf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color w:val="333333"/>
          <w:sz w:val="22"/>
          <w:szCs w:val="22"/>
          <w:lang w:val="pl-PL"/>
        </w:rPr>
        <w:lastRenderedPageBreak/>
        <w:t xml:space="preserve">- </w:t>
      </w:r>
      <w:r w:rsidRPr="000D5EB5">
        <w:rPr>
          <w:rFonts w:ascii="Calibri" w:hAnsi="Calibri" w:cs="Verdana"/>
          <w:sz w:val="22"/>
          <w:szCs w:val="22"/>
          <w:lang w:val="pl-PL"/>
        </w:rPr>
        <w:t>Dalsze informacje nt zawodu nauczyciela można znaleźć na stronie:</w:t>
      </w:r>
    </w:p>
    <w:p w:rsidR="002523A4" w:rsidRPr="000D5EB5" w:rsidRDefault="002523A4" w:rsidP="00C371FE">
      <w:pPr>
        <w:spacing w:before="120" w:after="120"/>
        <w:ind w:left="360"/>
        <w:jc w:val="both"/>
        <w:rPr>
          <w:rFonts w:ascii="Calibri" w:hAnsi="Calibri" w:cs="Verdana"/>
          <w:color w:val="FF0000"/>
          <w:sz w:val="22"/>
          <w:szCs w:val="22"/>
          <w:lang w:val="pl-PL"/>
        </w:rPr>
      </w:pPr>
      <w:r w:rsidRPr="000D5EB5">
        <w:rPr>
          <w:rFonts w:ascii="Calibri" w:hAnsi="Calibri" w:cs="Verdana"/>
          <w:color w:val="1A3F7B"/>
          <w:sz w:val="22"/>
          <w:szCs w:val="22"/>
          <w:lang w:val="pl-PL"/>
        </w:rPr>
        <w:t>http://ec.europa.eu/education/policy/school/teacher-training_en.htm</w:t>
      </w:r>
    </w:p>
    <w:p w:rsidR="002523A4" w:rsidRPr="000D5EB5" w:rsidRDefault="002523A4" w:rsidP="00C371FE">
      <w:pPr>
        <w:spacing w:before="120" w:after="120"/>
        <w:ind w:left="360"/>
        <w:jc w:val="both"/>
        <w:rPr>
          <w:rFonts w:ascii="Calibri" w:hAnsi="Calibri" w:cs="Verdana"/>
          <w:sz w:val="22"/>
          <w:szCs w:val="22"/>
          <w:lang w:val="pl-PL"/>
        </w:rPr>
      </w:pP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smartTag w:uri="urn:schemas-microsoft-com:office:smarttags" w:element="metricconverter">
        <w:smartTagPr>
          <w:attr w:name="ProductID" w:val="5.C"/>
        </w:smartTagPr>
        <w:r w:rsidRPr="000D5EB5">
          <w:rPr>
            <w:rFonts w:ascii="Calibri" w:hAnsi="Calibri" w:cs="Verdana,Bold"/>
            <w:b/>
            <w:bCs/>
            <w:color w:val="263672"/>
            <w:sz w:val="22"/>
            <w:szCs w:val="22"/>
            <w:lang w:val="pl-PL"/>
          </w:rPr>
          <w:t>5.C</w:t>
        </w:r>
      </w:smartTag>
      <w:r w:rsidRPr="000D5EB5">
        <w:rPr>
          <w:rFonts w:ascii="Calibri" w:hAnsi="Calibri" w:cs="Verdana,Bold"/>
          <w:b/>
          <w:bCs/>
          <w:color w:val="263672"/>
          <w:sz w:val="22"/>
          <w:szCs w:val="22"/>
          <w:lang w:val="pl-PL"/>
        </w:rPr>
        <w:t xml:space="preserve"> Priorytety w sektorze kształcenia i </w:t>
      </w:r>
      <w:proofErr w:type="spellStart"/>
      <w:r w:rsidRPr="000D5EB5">
        <w:rPr>
          <w:rFonts w:ascii="Calibri" w:hAnsi="Calibri" w:cs="Verdana,Bold"/>
          <w:b/>
          <w:bCs/>
          <w:color w:val="263672"/>
          <w:sz w:val="22"/>
          <w:szCs w:val="22"/>
          <w:lang w:val="pl-PL"/>
        </w:rPr>
        <w:t>szkolenia</w:t>
      </w:r>
      <w:proofErr w:type="spellEnd"/>
      <w:r w:rsidRPr="000D5EB5">
        <w:rPr>
          <w:rFonts w:ascii="Calibri" w:hAnsi="Calibri" w:cs="Verdana,Bold"/>
          <w:b/>
          <w:bCs/>
          <w:color w:val="263672"/>
          <w:sz w:val="22"/>
          <w:szCs w:val="22"/>
          <w:lang w:val="pl-PL"/>
        </w:rPr>
        <w:t xml:space="preserve"> zawodowego</w:t>
      </w:r>
    </w:p>
    <w:p w:rsidR="002523A4" w:rsidRPr="000D5EB5" w:rsidRDefault="002523A4" w:rsidP="00C371FE">
      <w:pPr>
        <w:autoSpaceDE w:val="0"/>
        <w:autoSpaceDN w:val="0"/>
        <w:adjustRightInd w:val="0"/>
        <w:spacing w:before="120" w:after="120"/>
        <w:ind w:left="360"/>
        <w:jc w:val="both"/>
        <w:rPr>
          <w:rFonts w:ascii="Calibri" w:hAnsi="Calibri" w:cs="Arial"/>
          <w:sz w:val="22"/>
          <w:szCs w:val="22"/>
          <w:lang w:val="pl-PL"/>
        </w:rPr>
      </w:pPr>
      <w:r w:rsidRPr="000D5EB5">
        <w:rPr>
          <w:rFonts w:ascii="Calibri" w:hAnsi="Calibri" w:cs="Verdana"/>
          <w:sz w:val="22"/>
          <w:szCs w:val="22"/>
          <w:lang w:val="pl-PL"/>
        </w:rPr>
        <w:t xml:space="preserve">- </w:t>
      </w:r>
      <w:r w:rsidRPr="000D5EB5">
        <w:rPr>
          <w:rFonts w:ascii="Calibri" w:hAnsi="Calibri" w:cs="Arial"/>
          <w:sz w:val="22"/>
          <w:szCs w:val="22"/>
          <w:lang w:val="pl-PL"/>
        </w:rPr>
        <w:t xml:space="preserve">Wspieranie kształcenia i </w:t>
      </w:r>
      <w:proofErr w:type="spellStart"/>
      <w:r w:rsidRPr="000D5EB5">
        <w:rPr>
          <w:rFonts w:ascii="Calibri" w:hAnsi="Calibri" w:cs="Arial"/>
          <w:sz w:val="22"/>
          <w:szCs w:val="22"/>
          <w:lang w:val="pl-PL"/>
        </w:rPr>
        <w:t>szkolenia</w:t>
      </w:r>
      <w:proofErr w:type="spellEnd"/>
      <w:r w:rsidRPr="000D5EB5">
        <w:rPr>
          <w:rFonts w:ascii="Calibri" w:hAnsi="Calibri" w:cs="Arial"/>
          <w:sz w:val="22"/>
          <w:szCs w:val="22"/>
          <w:lang w:val="pl-PL"/>
        </w:rPr>
        <w:t xml:space="preserve"> zawodowego w Europie: Komunikat z Brugii, </w:t>
      </w:r>
      <w:r w:rsidRPr="000D5EB5">
        <w:rPr>
          <w:rFonts w:ascii="Calibri" w:hAnsi="Calibri" w:cs="Verdana"/>
          <w:sz w:val="22"/>
          <w:szCs w:val="22"/>
          <w:lang w:val="pl-PL"/>
        </w:rPr>
        <w:t>2011-2020</w:t>
      </w:r>
    </w:p>
    <w:p w:rsidR="002523A4" w:rsidRPr="000D5EB5" w:rsidRDefault="002523A4" w:rsidP="00C371FE">
      <w:pPr>
        <w:autoSpaceDE w:val="0"/>
        <w:autoSpaceDN w:val="0"/>
        <w:adjustRightInd w:val="0"/>
        <w:spacing w:before="120" w:after="120"/>
        <w:ind w:left="360"/>
        <w:jc w:val="both"/>
        <w:rPr>
          <w:rFonts w:ascii="Calibri" w:hAnsi="Calibri" w:cs="Verdana"/>
          <w:color w:val="333333"/>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http://ec.europa.eu/education/library/publications/2011/bruges_pl.pdf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Vocational education and training for better skills growth and jobs</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http://eurlex.</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europa.eu/</w:t>
      </w:r>
      <w:proofErr w:type="spellStart"/>
      <w:r w:rsidRPr="00746503">
        <w:rPr>
          <w:rFonts w:ascii="Calibri" w:hAnsi="Calibri" w:cs="Verdana"/>
          <w:color w:val="1A3F7B"/>
          <w:sz w:val="22"/>
          <w:szCs w:val="22"/>
        </w:rPr>
        <w:t>LexUriServ</w:t>
      </w:r>
      <w:proofErr w:type="spellEnd"/>
      <w:r w:rsidRPr="00746503">
        <w:rPr>
          <w:rFonts w:ascii="Calibri" w:hAnsi="Calibri" w:cs="Verdana"/>
          <w:color w:val="1A3F7B"/>
          <w:sz w:val="22"/>
          <w:szCs w:val="22"/>
        </w:rPr>
        <w:t>/</w:t>
      </w:r>
      <w:proofErr w:type="spellStart"/>
      <w:r w:rsidRPr="00746503">
        <w:rPr>
          <w:rFonts w:ascii="Calibri" w:hAnsi="Calibri" w:cs="Verdana"/>
          <w:color w:val="1A3F7B"/>
          <w:sz w:val="22"/>
          <w:szCs w:val="22"/>
        </w:rPr>
        <w:t>LexUriServ.do?uri</w:t>
      </w:r>
      <w:proofErr w:type="spellEnd"/>
      <w:r w:rsidRPr="00746503">
        <w:rPr>
          <w:rFonts w:ascii="Calibri" w:hAnsi="Calibri" w:cs="Verdana"/>
          <w:color w:val="1A3F7B"/>
          <w:sz w:val="22"/>
          <w:szCs w:val="22"/>
        </w:rPr>
        <w:t xml:space="preserve">=SWD:2012:0375:FIN:EN:PDF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Work-based Learning in Europe. Practices and policy pointers</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http://ec.europa.eu/education/policy/vocational-policy/doc/alliance/workbased-</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roofErr w:type="spellStart"/>
      <w:r w:rsidRPr="000D5EB5">
        <w:rPr>
          <w:rFonts w:ascii="Calibri" w:hAnsi="Calibri" w:cs="Verdana"/>
          <w:color w:val="1A3F7B"/>
          <w:sz w:val="22"/>
          <w:szCs w:val="22"/>
          <w:lang w:val="pl-PL"/>
        </w:rPr>
        <w:t>learning-in-europe_en.pdf</w:t>
      </w:r>
      <w:proofErr w:type="spellEnd"/>
      <w:r w:rsidRPr="000D5EB5">
        <w:rPr>
          <w:rFonts w:ascii="Calibri" w:hAnsi="Calibri" w:cs="Verdana"/>
          <w:color w:val="1A3F7B"/>
          <w:sz w:val="22"/>
          <w:szCs w:val="22"/>
          <w:lang w:val="pl-PL"/>
        </w:rPr>
        <w:t xml:space="preserve"> </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Więcej informacji można znaleźć na stronie:</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http://ec.europa.eu/education/lifelong-learning-policy/vet_en.htm </w:t>
      </w: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r w:rsidRPr="000D5EB5">
        <w:rPr>
          <w:rFonts w:ascii="Calibri" w:hAnsi="Calibri" w:cs="Verdana,Bold"/>
          <w:b/>
          <w:bCs/>
          <w:color w:val="263672"/>
          <w:sz w:val="22"/>
          <w:szCs w:val="22"/>
          <w:lang w:val="pl-PL"/>
        </w:rPr>
        <w:t>5.D Priorytety w sektorze szkolnictwa wyższego</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Plan modernizacji europejskich systemów szkolnictwa wyższego:</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roofErr w:type="spellStart"/>
      <w:r w:rsidRPr="000D5EB5">
        <w:rPr>
          <w:rFonts w:ascii="Calibri" w:hAnsi="Calibri" w:cs="Verdana"/>
          <w:color w:val="1A3F7B"/>
          <w:sz w:val="22"/>
          <w:szCs w:val="22"/>
          <w:lang w:val="pl-PL"/>
        </w:rPr>
        <w:t>europa.eu</w:t>
      </w:r>
      <w:proofErr w:type="spellEnd"/>
      <w:r w:rsidRPr="000D5EB5">
        <w:rPr>
          <w:rFonts w:ascii="Calibri" w:hAnsi="Calibri" w:cs="Verdana"/>
          <w:color w:val="1A3F7B"/>
          <w:sz w:val="22"/>
          <w:szCs w:val="22"/>
          <w:lang w:val="pl-PL"/>
        </w:rPr>
        <w:t>/</w:t>
      </w:r>
      <w:proofErr w:type="spellStart"/>
      <w:r w:rsidRPr="000D5EB5">
        <w:rPr>
          <w:rFonts w:ascii="Calibri" w:hAnsi="Calibri" w:cs="Verdana"/>
          <w:color w:val="1A3F7B"/>
          <w:sz w:val="22"/>
          <w:szCs w:val="22"/>
          <w:lang w:val="pl-PL"/>
        </w:rPr>
        <w:t>LexUriServ</w:t>
      </w:r>
      <w:proofErr w:type="spellEnd"/>
      <w:r w:rsidRPr="000D5EB5">
        <w:rPr>
          <w:rFonts w:ascii="Calibri" w:hAnsi="Calibri" w:cs="Verdana"/>
          <w:color w:val="1A3F7B"/>
          <w:sz w:val="22"/>
          <w:szCs w:val="22"/>
          <w:lang w:val="pl-PL"/>
        </w:rPr>
        <w:t>/LexUriServ.do?uri=COM:2011:0567:FIN:PL:PDF</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Więcej informacji można znaleźć na stronie:</w:t>
      </w:r>
    </w:p>
    <w:p w:rsidR="002523A4" w:rsidRPr="000D5EB5" w:rsidRDefault="002523A4" w:rsidP="00C371FE">
      <w:pPr>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http://ec.europa.eu/education/policy/higher-education/index_en.htm </w:t>
      </w:r>
    </w:p>
    <w:p w:rsidR="002523A4" w:rsidRPr="000D5EB5" w:rsidRDefault="002523A4" w:rsidP="00C371FE">
      <w:pPr>
        <w:spacing w:before="120" w:after="120"/>
        <w:ind w:left="360"/>
        <w:jc w:val="both"/>
        <w:rPr>
          <w:rFonts w:ascii="Calibri" w:hAnsi="Calibri" w:cs="Verdana"/>
          <w:sz w:val="22"/>
          <w:szCs w:val="22"/>
          <w:lang w:val="pl-PL"/>
        </w:rPr>
      </w:pP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r w:rsidRPr="000D5EB5">
        <w:rPr>
          <w:rFonts w:ascii="Calibri" w:hAnsi="Calibri" w:cs="Verdana,Bold"/>
          <w:b/>
          <w:bCs/>
          <w:color w:val="263672"/>
          <w:sz w:val="22"/>
          <w:szCs w:val="22"/>
          <w:lang w:val="pl-PL"/>
        </w:rPr>
        <w:t>5.E Priorytety w sektorze edukacji dorosłych</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Europejska agenda w zakresie uczenia się dorosłych</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http://ec.europa.eu/education/policy/adult-learning/adult_en.htm </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Międzynarodowe Badanie Kompetencji Osób Dorosłych (PIAAC)</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http://ec.europa.eu/education/policy/strategic-framework/indicatorsbenchmarks_</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r w:rsidRPr="00746503">
        <w:rPr>
          <w:rFonts w:ascii="Calibri" w:hAnsi="Calibri" w:cs="Verdana"/>
          <w:color w:val="1A3F7B"/>
          <w:sz w:val="22"/>
          <w:szCs w:val="22"/>
          <w:lang w:val="de-DE"/>
        </w:rPr>
        <w:t xml:space="preserve">en.htm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r w:rsidRPr="00746503">
        <w:rPr>
          <w:rFonts w:ascii="Calibri" w:hAnsi="Calibri" w:cs="Verdana"/>
          <w:color w:val="1A3F7B"/>
          <w:sz w:val="22"/>
          <w:szCs w:val="22"/>
          <w:lang w:val="de-DE"/>
        </w:rPr>
        <w:t xml:space="preserve">http://europa.eu/rapid/press-release_IP-13-922_en.htm </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lang w:val="de-DE"/>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lastRenderedPageBreak/>
        <w:t>- Education and Training Monitor 2013</w:t>
      </w:r>
    </w:p>
    <w:p w:rsidR="002523A4" w:rsidRPr="00746503" w:rsidRDefault="002523A4" w:rsidP="00C371FE">
      <w:pPr>
        <w:autoSpaceDE w:val="0"/>
        <w:autoSpaceDN w:val="0"/>
        <w:adjustRightInd w:val="0"/>
        <w:spacing w:before="120" w:after="120"/>
        <w:ind w:left="360"/>
        <w:jc w:val="both"/>
        <w:rPr>
          <w:rFonts w:ascii="Calibri" w:hAnsi="Calibri" w:cs="Verdana"/>
          <w:color w:val="FF0000"/>
          <w:sz w:val="22"/>
          <w:szCs w:val="22"/>
        </w:rPr>
      </w:pPr>
      <w:r w:rsidRPr="00746503">
        <w:rPr>
          <w:rFonts w:ascii="Calibri" w:hAnsi="Calibri" w:cs="Verdana"/>
          <w:color w:val="1A3F7B"/>
          <w:sz w:val="22"/>
          <w:szCs w:val="22"/>
        </w:rPr>
        <w:t xml:space="preserve">http://ec.europa.eu/education/library/publications/monitor13_en.pdf </w:t>
      </w: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Aby uzyskać więcej informacji, patrz treść Agendy:</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http://eurlex.</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europa.eu/LexUriServ/LexUriServ.do?uri=OJ:C:2011:372:0001:0006:PL:PDF</w:t>
      </w: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smartTag w:uri="urn:schemas-microsoft-com:office:smarttags" w:element="metricconverter">
        <w:smartTagPr>
          <w:attr w:name="ProductID" w:val="5.F"/>
        </w:smartTagPr>
        <w:r w:rsidRPr="000D5EB5">
          <w:rPr>
            <w:rFonts w:ascii="Calibri" w:hAnsi="Calibri" w:cs="Verdana,Bold"/>
            <w:b/>
            <w:bCs/>
            <w:color w:val="263672"/>
            <w:sz w:val="22"/>
            <w:szCs w:val="22"/>
            <w:lang w:val="pl-PL"/>
          </w:rPr>
          <w:t>5.F</w:t>
        </w:r>
      </w:smartTag>
      <w:r w:rsidRPr="000D5EB5">
        <w:rPr>
          <w:rFonts w:ascii="Calibri" w:hAnsi="Calibri" w:cs="Verdana,Bold"/>
          <w:b/>
          <w:bCs/>
          <w:color w:val="263672"/>
          <w:sz w:val="22"/>
          <w:szCs w:val="22"/>
          <w:lang w:val="pl-PL"/>
        </w:rPr>
        <w:t xml:space="preserve"> Priorytety w sektorze młodzieży</w:t>
      </w:r>
    </w:p>
    <w:p w:rsidR="002523A4" w:rsidRPr="000D5EB5" w:rsidRDefault="002523A4" w:rsidP="00C371FE">
      <w:pPr>
        <w:autoSpaceDE w:val="0"/>
        <w:autoSpaceDN w:val="0"/>
        <w:adjustRightInd w:val="0"/>
        <w:spacing w:before="120" w:after="120"/>
        <w:jc w:val="both"/>
        <w:rPr>
          <w:rFonts w:ascii="Calibri" w:hAnsi="Calibri" w:cs="Verdana,Bold"/>
          <w:b/>
          <w:bCs/>
          <w:color w:val="263672"/>
          <w:sz w:val="22"/>
          <w:szCs w:val="22"/>
          <w:lang w:val="pl-PL"/>
        </w:rPr>
      </w:pPr>
    </w:p>
    <w:p w:rsidR="002523A4" w:rsidRPr="000D5EB5" w:rsidRDefault="002523A4" w:rsidP="00C371FE">
      <w:pPr>
        <w:autoSpaceDE w:val="0"/>
        <w:autoSpaceDN w:val="0"/>
        <w:adjustRightInd w:val="0"/>
        <w:spacing w:before="120" w:after="120"/>
        <w:ind w:left="360"/>
        <w:jc w:val="both"/>
        <w:rPr>
          <w:rFonts w:ascii="Calibri" w:hAnsi="Calibri" w:cs="Verdana"/>
          <w:sz w:val="22"/>
          <w:szCs w:val="22"/>
          <w:lang w:val="pl-PL"/>
        </w:rPr>
      </w:pPr>
      <w:r w:rsidRPr="000D5EB5">
        <w:rPr>
          <w:rFonts w:ascii="Calibri" w:hAnsi="Calibri" w:cs="Verdana"/>
          <w:sz w:val="22"/>
          <w:szCs w:val="22"/>
          <w:lang w:val="pl-PL"/>
        </w:rPr>
        <w:t xml:space="preserve">- </w:t>
      </w:r>
      <w:r w:rsidRPr="000D5EB5">
        <w:rPr>
          <w:rStyle w:val="Pogrubienie"/>
          <w:rFonts w:ascii="Calibri" w:hAnsi="Calibri"/>
          <w:sz w:val="22"/>
          <w:szCs w:val="22"/>
          <w:lang w:val="pl-PL"/>
        </w:rPr>
        <w:t>Rezolucja Rady w sprawie odnowionych ram europejskiej współpracy na rzecz młodzieży (2010 – 2018) – Strategia młodzieżowa UE</w:t>
      </w:r>
    </w:p>
    <w:p w:rsidR="002523A4" w:rsidRPr="000D5EB5" w:rsidRDefault="002523A4" w:rsidP="00C371FE">
      <w:pPr>
        <w:autoSpaceDE w:val="0"/>
        <w:autoSpaceDN w:val="0"/>
        <w:adjustRightInd w:val="0"/>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http://new.eur-lex.europa.eu/legalcontent/</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EN/TXT/?</w:t>
      </w:r>
      <w:proofErr w:type="spellStart"/>
      <w:r w:rsidRPr="00746503">
        <w:rPr>
          <w:rFonts w:ascii="Calibri" w:hAnsi="Calibri" w:cs="Verdana"/>
          <w:color w:val="1A3F7B"/>
          <w:sz w:val="22"/>
          <w:szCs w:val="22"/>
        </w:rPr>
        <w:t>qid</w:t>
      </w:r>
      <w:proofErr w:type="spellEnd"/>
      <w:r w:rsidRPr="00746503">
        <w:rPr>
          <w:rFonts w:ascii="Calibri" w:hAnsi="Calibri" w:cs="Verdana"/>
          <w:color w:val="1A3F7B"/>
          <w:sz w:val="22"/>
          <w:szCs w:val="22"/>
        </w:rPr>
        <w:t>=1390996863108&amp;uri=CELEX:32009G1219%2801%29</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Declaration of the 1st European youth work Convention.</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http://www.coe.int/t/dg4/youth/Source/Resources/Documents/2010_Declar</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ation_European_youth_work_convention_en.pdf</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 Pathways 2.0 towards recognition of non-formal learning/education and of</w:t>
      </w:r>
    </w:p>
    <w:p w:rsidR="002523A4" w:rsidRPr="00746503" w:rsidRDefault="002523A4" w:rsidP="00C371FE">
      <w:pPr>
        <w:autoSpaceDE w:val="0"/>
        <w:autoSpaceDN w:val="0"/>
        <w:adjustRightInd w:val="0"/>
        <w:spacing w:before="120" w:after="120"/>
        <w:ind w:left="360"/>
        <w:jc w:val="both"/>
        <w:rPr>
          <w:rFonts w:ascii="Calibri" w:hAnsi="Calibri" w:cs="Verdana"/>
          <w:sz w:val="22"/>
          <w:szCs w:val="22"/>
        </w:rPr>
      </w:pPr>
      <w:r w:rsidRPr="00746503">
        <w:rPr>
          <w:rFonts w:ascii="Calibri" w:hAnsi="Calibri" w:cs="Verdana"/>
          <w:sz w:val="22"/>
          <w:szCs w:val="22"/>
        </w:rPr>
        <w:t>youth work in Europe.</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http://youth-partnership-eu.coe.int/youthpartnership/</w:t>
      </w:r>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documents/EKCYP/</w:t>
      </w:r>
      <w:proofErr w:type="spellStart"/>
      <w:r w:rsidRPr="00746503">
        <w:rPr>
          <w:rFonts w:ascii="Calibri" w:hAnsi="Calibri" w:cs="Verdana"/>
          <w:color w:val="1A3F7B"/>
          <w:sz w:val="22"/>
          <w:szCs w:val="22"/>
        </w:rPr>
        <w:t>Youth_Policy</w:t>
      </w:r>
      <w:proofErr w:type="spellEnd"/>
      <w:r w:rsidRPr="00746503">
        <w:rPr>
          <w:rFonts w:ascii="Calibri" w:hAnsi="Calibri" w:cs="Verdana"/>
          <w:color w:val="1A3F7B"/>
          <w:sz w:val="22"/>
          <w:szCs w:val="22"/>
        </w:rPr>
        <w:t>/docs/</w:t>
      </w:r>
      <w:proofErr w:type="spellStart"/>
      <w:r w:rsidRPr="00746503">
        <w:rPr>
          <w:rFonts w:ascii="Calibri" w:hAnsi="Calibri" w:cs="Verdana"/>
          <w:color w:val="1A3F7B"/>
          <w:sz w:val="22"/>
          <w:szCs w:val="22"/>
        </w:rPr>
        <w:t>Youth_Work</w:t>
      </w:r>
      <w:proofErr w:type="spellEnd"/>
      <w:r w:rsidRPr="00746503">
        <w:rPr>
          <w:rFonts w:ascii="Calibri" w:hAnsi="Calibri" w:cs="Verdana"/>
          <w:color w:val="1A3F7B"/>
          <w:sz w:val="22"/>
          <w:szCs w:val="22"/>
        </w:rPr>
        <w:t>/Policy/</w:t>
      </w:r>
      <w:proofErr w:type="spellStart"/>
      <w:r w:rsidRPr="00746503">
        <w:rPr>
          <w:rFonts w:ascii="Calibri" w:hAnsi="Calibri" w:cs="Verdana"/>
          <w:color w:val="1A3F7B"/>
          <w:sz w:val="22"/>
          <w:szCs w:val="22"/>
        </w:rPr>
        <w:t>Pathw</w:t>
      </w:r>
      <w:proofErr w:type="spellEnd"/>
    </w:p>
    <w:p w:rsidR="002523A4" w:rsidRPr="00746503" w:rsidRDefault="002523A4" w:rsidP="00C371FE">
      <w:pPr>
        <w:autoSpaceDE w:val="0"/>
        <w:autoSpaceDN w:val="0"/>
        <w:adjustRightInd w:val="0"/>
        <w:spacing w:before="120" w:after="120"/>
        <w:ind w:left="360"/>
        <w:jc w:val="both"/>
        <w:rPr>
          <w:rFonts w:ascii="Calibri" w:hAnsi="Calibri" w:cs="Verdana"/>
          <w:color w:val="1A3F7B"/>
          <w:sz w:val="22"/>
          <w:szCs w:val="22"/>
        </w:rPr>
      </w:pPr>
      <w:r w:rsidRPr="00746503">
        <w:rPr>
          <w:rFonts w:ascii="Calibri" w:hAnsi="Calibri" w:cs="Verdana"/>
          <w:color w:val="1A3F7B"/>
          <w:sz w:val="22"/>
          <w:szCs w:val="22"/>
        </w:rPr>
        <w:t>ays_II_towards_recognition_of_non-formal_learning_Jan_2011.pdf</w:t>
      </w:r>
    </w:p>
    <w:p w:rsidR="002523A4" w:rsidRPr="00746503" w:rsidRDefault="002523A4" w:rsidP="00C371FE">
      <w:pPr>
        <w:autoSpaceDE w:val="0"/>
        <w:autoSpaceDN w:val="0"/>
        <w:adjustRightInd w:val="0"/>
        <w:spacing w:before="120" w:after="120"/>
        <w:ind w:left="360"/>
        <w:jc w:val="both"/>
        <w:rPr>
          <w:rFonts w:ascii="Calibri" w:hAnsi="Calibri" w:cs="Verdana"/>
          <w:color w:val="333333"/>
          <w:sz w:val="22"/>
          <w:szCs w:val="22"/>
        </w:rPr>
      </w:pPr>
    </w:p>
    <w:p w:rsidR="002523A4" w:rsidRPr="000D5EB5" w:rsidRDefault="002523A4" w:rsidP="00C371FE">
      <w:pPr>
        <w:autoSpaceDE w:val="0"/>
        <w:autoSpaceDN w:val="0"/>
        <w:adjustRightInd w:val="0"/>
        <w:spacing w:before="120" w:after="120"/>
        <w:ind w:left="360"/>
        <w:jc w:val="both"/>
        <w:rPr>
          <w:rFonts w:ascii="Calibri" w:hAnsi="Calibri" w:cs="Verdana"/>
          <w:color w:val="333333"/>
          <w:sz w:val="22"/>
          <w:szCs w:val="22"/>
          <w:lang w:val="pl-PL"/>
        </w:rPr>
      </w:pPr>
      <w:r w:rsidRPr="000D5EB5">
        <w:rPr>
          <w:rFonts w:ascii="Calibri" w:hAnsi="Calibri" w:cs="Verdana"/>
          <w:color w:val="333333"/>
          <w:sz w:val="22"/>
          <w:szCs w:val="22"/>
          <w:lang w:val="pl-PL"/>
        </w:rPr>
        <w:t>Więcej informacji można znaleźć na stronie:</w:t>
      </w:r>
    </w:p>
    <w:p w:rsidR="002523A4" w:rsidRPr="000D5EB5" w:rsidRDefault="002523A4" w:rsidP="00C371FE">
      <w:pPr>
        <w:spacing w:before="120" w:after="120"/>
        <w:ind w:left="360"/>
        <w:jc w:val="both"/>
        <w:rPr>
          <w:rFonts w:ascii="Calibri" w:hAnsi="Calibri" w:cs="Verdana"/>
          <w:color w:val="1A3F7B"/>
          <w:sz w:val="22"/>
          <w:szCs w:val="22"/>
          <w:lang w:val="pl-PL"/>
        </w:rPr>
      </w:pPr>
      <w:r w:rsidRPr="000D5EB5">
        <w:rPr>
          <w:rFonts w:ascii="Calibri" w:hAnsi="Calibri" w:cs="Verdana"/>
          <w:color w:val="1A3F7B"/>
          <w:sz w:val="22"/>
          <w:szCs w:val="22"/>
          <w:lang w:val="pl-PL"/>
        </w:rPr>
        <w:t xml:space="preserve">http://ec.europa.eu/youth/index_en.htm </w:t>
      </w:r>
    </w:p>
    <w:p w:rsidR="004D0F57" w:rsidRDefault="002523A4" w:rsidP="00C371FE">
      <w:pPr>
        <w:spacing w:before="120" w:after="120"/>
        <w:ind w:left="-142"/>
        <w:rPr>
          <w:lang w:val="pl-PL"/>
        </w:rPr>
      </w:pPr>
      <w:r w:rsidRPr="000D5EB5">
        <w:rPr>
          <w:rFonts w:ascii="Calibri" w:hAnsi="Calibri" w:cs="Verdana"/>
          <w:sz w:val="22"/>
          <w:szCs w:val="22"/>
          <w:lang w:val="pl-PL"/>
        </w:rPr>
        <w:br w:type="page"/>
      </w:r>
    </w:p>
    <w:p w:rsidR="00DE6ED4" w:rsidRPr="009D008C" w:rsidRDefault="00DE6ED4" w:rsidP="00C371FE">
      <w:pPr>
        <w:spacing w:before="120" w:after="120"/>
        <w:rPr>
          <w:lang w:val="pl-PL"/>
        </w:rPr>
      </w:pPr>
    </w:p>
    <w:sectPr w:rsidR="00DE6ED4" w:rsidRPr="009D008C" w:rsidSect="002523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2C" w:rsidRDefault="00C6612C" w:rsidP="009D008C">
      <w:r>
        <w:separator/>
      </w:r>
    </w:p>
  </w:endnote>
  <w:endnote w:type="continuationSeparator" w:id="0">
    <w:p w:rsidR="00C6612C" w:rsidRDefault="00C6612C" w:rsidP="009D0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722"/>
      <w:docPartObj>
        <w:docPartGallery w:val="Page Numbers (Bottom of Page)"/>
        <w:docPartUnique/>
      </w:docPartObj>
    </w:sdtPr>
    <w:sdtContent>
      <w:p w:rsidR="002A1F42" w:rsidRDefault="002A1F42">
        <w:pPr>
          <w:pStyle w:val="Stopka"/>
          <w:jc w:val="center"/>
        </w:pPr>
        <w:r w:rsidRPr="002A1F42">
          <w:rPr>
            <w:sz w:val="18"/>
            <w:szCs w:val="18"/>
          </w:rPr>
          <w:fldChar w:fldCharType="begin"/>
        </w:r>
        <w:r w:rsidRPr="002A1F42">
          <w:rPr>
            <w:sz w:val="18"/>
            <w:szCs w:val="18"/>
          </w:rPr>
          <w:instrText xml:space="preserve"> PAGE   \* MERGEFORMAT </w:instrText>
        </w:r>
        <w:r w:rsidRPr="002A1F42">
          <w:rPr>
            <w:sz w:val="18"/>
            <w:szCs w:val="18"/>
          </w:rPr>
          <w:fldChar w:fldCharType="separate"/>
        </w:r>
        <w:r>
          <w:rPr>
            <w:noProof/>
            <w:sz w:val="18"/>
            <w:szCs w:val="18"/>
          </w:rPr>
          <w:t>8</w:t>
        </w:r>
        <w:r w:rsidRPr="002A1F42">
          <w:rPr>
            <w:sz w:val="18"/>
            <w:szCs w:val="18"/>
          </w:rPr>
          <w:fldChar w:fldCharType="end"/>
        </w:r>
      </w:p>
    </w:sdtContent>
  </w:sdt>
  <w:p w:rsidR="002A1F42" w:rsidRDefault="002A1F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2C" w:rsidRDefault="00C6612C" w:rsidP="009D008C">
      <w:r>
        <w:separator/>
      </w:r>
    </w:p>
  </w:footnote>
  <w:footnote w:type="continuationSeparator" w:id="0">
    <w:p w:rsidR="00C6612C" w:rsidRDefault="00C6612C" w:rsidP="009D008C">
      <w:r>
        <w:continuationSeparator/>
      </w:r>
    </w:p>
  </w:footnote>
  <w:footnote w:id="1">
    <w:p w:rsidR="00C6612C" w:rsidRPr="00BE08A0" w:rsidRDefault="00C6612C" w:rsidP="009D008C">
      <w:pPr>
        <w:pStyle w:val="Tekstprzypisudolnego"/>
        <w:rPr>
          <w:lang w:val="pl-PL"/>
        </w:rPr>
      </w:pPr>
      <w:r w:rsidRPr="00FF3728">
        <w:rPr>
          <w:rStyle w:val="Odwoanieprzypisudolnego"/>
          <w:rFonts w:asciiTheme="minorHAnsi" w:hAnsiTheme="minorHAnsi"/>
          <w:sz w:val="16"/>
          <w:szCs w:val="16"/>
        </w:rPr>
        <w:footnoteRef/>
      </w:r>
      <w:r w:rsidRPr="00FF3728">
        <w:rPr>
          <w:rFonts w:asciiTheme="minorHAnsi" w:hAnsiTheme="minorHAnsi"/>
          <w:sz w:val="16"/>
          <w:szCs w:val="16"/>
          <w:lang w:val="pl-PL"/>
        </w:rPr>
        <w:t xml:space="preserve"> W niniejszym pr</w:t>
      </w:r>
      <w:r>
        <w:rPr>
          <w:rFonts w:asciiTheme="minorHAnsi" w:hAnsiTheme="minorHAnsi"/>
          <w:sz w:val="16"/>
          <w:szCs w:val="16"/>
          <w:lang w:val="pl-PL"/>
        </w:rPr>
        <w:t>zewodniku słowo wniosek i aplikacja</w:t>
      </w:r>
      <w:r w:rsidRPr="00FF3728">
        <w:rPr>
          <w:rFonts w:asciiTheme="minorHAnsi" w:hAnsiTheme="minorHAnsi"/>
          <w:sz w:val="16"/>
          <w:szCs w:val="16"/>
          <w:lang w:val="pl-PL"/>
        </w:rPr>
        <w:t xml:space="preserve"> stosowane są zamiennie.</w:t>
      </w:r>
    </w:p>
  </w:footnote>
  <w:footnote w:id="2">
    <w:p w:rsidR="00C6612C" w:rsidRDefault="00C6612C" w:rsidP="009D008C">
      <w:pPr>
        <w:pStyle w:val="Default"/>
      </w:pPr>
      <w:r w:rsidRPr="00FF3728">
        <w:rPr>
          <w:rStyle w:val="Odwoanieprzypisudolnego"/>
          <w:rFonts w:asciiTheme="minorHAnsi" w:hAnsiTheme="minorHAnsi"/>
          <w:sz w:val="16"/>
          <w:szCs w:val="16"/>
        </w:rPr>
        <w:footnoteRef/>
      </w:r>
      <w:r w:rsidRPr="00FF3728">
        <w:rPr>
          <w:rFonts w:asciiTheme="minorHAnsi" w:hAnsiTheme="minorHAnsi"/>
          <w:sz w:val="16"/>
          <w:szCs w:val="16"/>
        </w:rPr>
        <w:t xml:space="preserve"> Program Erasmus+ został ustanowiony na mocy Rozporządzenia</w:t>
      </w:r>
      <w:r>
        <w:rPr>
          <w:rFonts w:asciiTheme="minorHAnsi" w:hAnsiTheme="minorHAnsi"/>
          <w:sz w:val="16"/>
          <w:szCs w:val="16"/>
        </w:rPr>
        <w:t xml:space="preserve"> Parlamentu Europejskiego i Rady </w:t>
      </w:r>
      <w:r w:rsidRPr="00FF3728">
        <w:rPr>
          <w:rFonts w:asciiTheme="minorHAnsi" w:hAnsiTheme="minorHAnsi"/>
          <w:sz w:val="16"/>
          <w:szCs w:val="16"/>
        </w:rPr>
        <w:t>(UE) nr 1288/2013 z dnia 11 grudnia 2013</w:t>
      </w:r>
      <w:r>
        <w:rPr>
          <w:rFonts w:asciiTheme="minorHAnsi" w:hAnsiTheme="minorHAnsi"/>
          <w:sz w:val="16"/>
          <w:szCs w:val="16"/>
        </w:rPr>
        <w:t xml:space="preserve"> </w:t>
      </w:r>
      <w:r w:rsidRPr="00FF3728">
        <w:rPr>
          <w:rFonts w:asciiTheme="minorHAnsi" w:hAnsiTheme="minorHAnsi"/>
          <w:sz w:val="16"/>
          <w:szCs w:val="16"/>
        </w:rPr>
        <w:t xml:space="preserve">r. ustanawiającego </w:t>
      </w:r>
      <w:r w:rsidRPr="00FF3728">
        <w:rPr>
          <w:rFonts w:asciiTheme="minorHAnsi" w:hAnsiTheme="minorHAnsi"/>
          <w:bCs/>
          <w:sz w:val="16"/>
          <w:szCs w:val="16"/>
        </w:rPr>
        <w:t xml:space="preserve">„Erasmus+”: unijny program na rzecz kształcenia, </w:t>
      </w:r>
      <w:proofErr w:type="spellStart"/>
      <w:r w:rsidRPr="00FF3728">
        <w:rPr>
          <w:rFonts w:asciiTheme="minorHAnsi" w:hAnsiTheme="minorHAnsi"/>
          <w:bCs/>
          <w:sz w:val="16"/>
          <w:szCs w:val="16"/>
        </w:rPr>
        <w:t>szkolenia</w:t>
      </w:r>
      <w:proofErr w:type="spellEnd"/>
      <w:r w:rsidRPr="00FF3728">
        <w:rPr>
          <w:rFonts w:asciiTheme="minorHAnsi" w:hAnsiTheme="minorHAnsi"/>
          <w:bCs/>
          <w:sz w:val="16"/>
          <w:szCs w:val="16"/>
        </w:rPr>
        <w:t>, młodzieży i sportu oraz uchylające decyzje nr 1719/2006/WE, 1720/2006/WE i 1298/2008/WE</w:t>
      </w:r>
    </w:p>
  </w:footnote>
  <w:footnote w:id="3">
    <w:p w:rsidR="00C6612C" w:rsidRPr="00645ECA" w:rsidRDefault="00C6612C" w:rsidP="009D008C">
      <w:pPr>
        <w:pStyle w:val="Tekstprzypisudolnego"/>
        <w:jc w:val="both"/>
        <w:rPr>
          <w:sz w:val="16"/>
          <w:szCs w:val="16"/>
          <w:lang w:val="pl-PL"/>
        </w:rPr>
      </w:pPr>
      <w:r w:rsidRPr="00645ECA">
        <w:rPr>
          <w:rStyle w:val="Odwoanieprzypisudolnego"/>
          <w:sz w:val="16"/>
          <w:szCs w:val="16"/>
        </w:rPr>
        <w:footnoteRef/>
      </w:r>
      <w:r w:rsidRPr="00645ECA">
        <w:rPr>
          <w:sz w:val="16"/>
          <w:szCs w:val="16"/>
          <w:lang w:val="pl-PL"/>
        </w:rPr>
        <w:t xml:space="preserve"> Należy pamiętać, że wszelkie dane osobowe powinny być przetwarzane zgodnie z przepisami:</w:t>
      </w:r>
    </w:p>
    <w:p w:rsidR="00C6612C" w:rsidRPr="00645ECA" w:rsidRDefault="00C6612C" w:rsidP="009D008C">
      <w:pPr>
        <w:pStyle w:val="Tekstprzypisudolnego"/>
        <w:jc w:val="both"/>
        <w:rPr>
          <w:sz w:val="16"/>
          <w:szCs w:val="16"/>
          <w:lang w:val="pl-PL"/>
        </w:rPr>
      </w:pPr>
      <w:r w:rsidRPr="00645ECA">
        <w:rPr>
          <w:sz w:val="16"/>
          <w:szCs w:val="16"/>
          <w:lang w:val="pl-PL"/>
        </w:rPr>
        <w:t>- Rozporządzenia (WE) Nr 45/2001 Parlamentu Europejskiego i Rady o ochronie osób fizycznych w związku z przetwarzaniem danych osobowych przez instytucje i organy wspólnotowe i o swobodnym przepływie takich danych;</w:t>
      </w:r>
    </w:p>
    <w:p w:rsidR="00C6612C" w:rsidRPr="00BE08A0" w:rsidRDefault="00C6612C" w:rsidP="009D008C">
      <w:pPr>
        <w:pStyle w:val="Tekstprzypisudolnego"/>
        <w:jc w:val="both"/>
        <w:rPr>
          <w:lang w:val="pl-PL"/>
        </w:rPr>
      </w:pPr>
      <w:r w:rsidRPr="00645ECA">
        <w:rPr>
          <w:sz w:val="16"/>
          <w:szCs w:val="16"/>
          <w:lang w:val="pl-PL"/>
        </w:rPr>
        <w:t>- w stosownych przypadkach, zgodnie z krajowymi przepisami o ochronie danych osobowych kraju, w którym złożono wniosek.</w:t>
      </w:r>
    </w:p>
  </w:footnote>
  <w:footnote w:id="4">
    <w:p w:rsidR="00C6612C" w:rsidRPr="00BE08A0" w:rsidRDefault="00C6612C" w:rsidP="009D008C">
      <w:pPr>
        <w:pStyle w:val="Tekstprzypisudolnego"/>
        <w:jc w:val="both"/>
        <w:rPr>
          <w:lang w:val="pl-PL"/>
        </w:rPr>
      </w:pPr>
      <w:r w:rsidRPr="008561BB">
        <w:rPr>
          <w:rStyle w:val="Odwoanieprzypisudolnego"/>
          <w:sz w:val="16"/>
          <w:szCs w:val="16"/>
        </w:rPr>
        <w:footnoteRef/>
      </w:r>
      <w:r w:rsidRPr="008561BB">
        <w:rPr>
          <w:sz w:val="16"/>
          <w:szCs w:val="16"/>
          <w:lang w:val="pl-PL"/>
        </w:rPr>
        <w:t xml:space="preserve"> Rozporządzenie w sprawie zasad finansowych Art. 57 pkt. 2 „(…) konflikt interesów istnieje wówczas, gdy bezstronne i obiektywne pełnienie funkcji podmiotu upoważnionego do działań finansowych lub innej osoby (…) jest zagrożone z uwagi na względy rodzinne, emocjonalne, sympatie polityczne lub przynależność państwową, interes gospodarczy lub jakiekolwiek inne interesy wspólne z odbiorcą.”</w:t>
      </w:r>
    </w:p>
  </w:footnote>
  <w:footnote w:id="5">
    <w:p w:rsidR="00C6612C" w:rsidRPr="00BE08A0" w:rsidRDefault="00C6612C" w:rsidP="009D008C">
      <w:pPr>
        <w:pStyle w:val="Tekstprzypisudolnego"/>
        <w:rPr>
          <w:lang w:val="pl-PL"/>
        </w:rPr>
      </w:pPr>
      <w:r w:rsidRPr="000F321F">
        <w:rPr>
          <w:rStyle w:val="Odwoanieprzypisudolnego"/>
          <w:sz w:val="16"/>
          <w:szCs w:val="16"/>
        </w:rPr>
        <w:footnoteRef/>
      </w:r>
      <w:r w:rsidRPr="000F321F">
        <w:rPr>
          <w:sz w:val="16"/>
          <w:szCs w:val="16"/>
          <w:lang w:val="pl-PL"/>
        </w:rPr>
        <w:t xml:space="preserve"> Wnioski dot. projektów mobilności w szkolnictwie wyższym nie podlegają ocenie merytorycznej, jako że ta m</w:t>
      </w:r>
      <w:r>
        <w:rPr>
          <w:sz w:val="16"/>
          <w:szCs w:val="16"/>
          <w:lang w:val="pl-PL"/>
        </w:rPr>
        <w:t xml:space="preserve">a miejsce wcześniej na etapie ubiegania się o </w:t>
      </w:r>
      <w:r w:rsidRPr="00FC049D">
        <w:rPr>
          <w:sz w:val="16"/>
          <w:szCs w:val="16"/>
          <w:lang w:val="pl-PL"/>
        </w:rPr>
        <w:t>Kartę Erasmusa dla Szkolnictwa Wyższego</w:t>
      </w:r>
      <w:r w:rsidRPr="000F321F" w:rsidDel="007E3DF3">
        <w:rPr>
          <w:sz w:val="16"/>
          <w:szCs w:val="16"/>
          <w:lang w:val="pl-PL"/>
        </w:rPr>
        <w:t xml:space="preserve"> </w:t>
      </w:r>
      <w:r>
        <w:rPr>
          <w:sz w:val="16"/>
          <w:szCs w:val="16"/>
          <w:lang w:val="pl-PL"/>
        </w:rPr>
        <w:t xml:space="preserve">(ang. ECHE). </w:t>
      </w:r>
    </w:p>
  </w:footnote>
  <w:footnote w:id="6">
    <w:p w:rsidR="00C6612C" w:rsidRPr="00BE08A0" w:rsidRDefault="00C6612C" w:rsidP="009D008C">
      <w:pPr>
        <w:pStyle w:val="Tekstprzypisudolnego"/>
        <w:rPr>
          <w:lang w:val="pl-PL"/>
        </w:rPr>
      </w:pPr>
      <w:r w:rsidRPr="001709EC">
        <w:rPr>
          <w:rStyle w:val="Odwoanieprzypisudolnego"/>
          <w:sz w:val="16"/>
          <w:szCs w:val="16"/>
        </w:rPr>
        <w:footnoteRef/>
      </w:r>
      <w:r w:rsidRPr="001709EC">
        <w:rPr>
          <w:sz w:val="16"/>
          <w:szCs w:val="16"/>
          <w:lang w:val="pl-PL"/>
        </w:rPr>
        <w:t xml:space="preserve"> Analogiczne kryterium w odniesieniu do konsorcjów  w</w:t>
      </w:r>
      <w:r>
        <w:rPr>
          <w:sz w:val="16"/>
          <w:szCs w:val="16"/>
          <w:lang w:val="pl-PL"/>
        </w:rPr>
        <w:t xml:space="preserve"> ramach projektów mobilności edukacyjnej w sektorze</w:t>
      </w:r>
      <w:r w:rsidRPr="001709EC">
        <w:rPr>
          <w:sz w:val="16"/>
          <w:szCs w:val="16"/>
          <w:lang w:val="pl-PL"/>
        </w:rPr>
        <w:t xml:space="preserve"> szkolnictw</w:t>
      </w:r>
      <w:r>
        <w:rPr>
          <w:sz w:val="16"/>
          <w:szCs w:val="16"/>
          <w:lang w:val="pl-PL"/>
        </w:rPr>
        <w:t>a</w:t>
      </w:r>
      <w:r w:rsidRPr="001709EC">
        <w:rPr>
          <w:sz w:val="16"/>
          <w:szCs w:val="16"/>
          <w:lang w:val="pl-PL"/>
        </w:rPr>
        <w:t xml:space="preserve"> wyższ</w:t>
      </w:r>
      <w:r>
        <w:rPr>
          <w:sz w:val="16"/>
          <w:szCs w:val="16"/>
          <w:lang w:val="pl-PL"/>
        </w:rPr>
        <w:t>ego</w:t>
      </w:r>
      <w:r w:rsidRPr="001709EC">
        <w:rPr>
          <w:sz w:val="16"/>
          <w:szCs w:val="16"/>
          <w:lang w:val="pl-PL"/>
        </w:rPr>
        <w:t xml:space="preserve"> „</w:t>
      </w:r>
      <w:r>
        <w:rPr>
          <w:sz w:val="16"/>
          <w:szCs w:val="16"/>
          <w:lang w:val="pl-PL"/>
        </w:rPr>
        <w:t>zgodność</w:t>
      </w:r>
      <w:r w:rsidRPr="001709EC">
        <w:rPr>
          <w:sz w:val="16"/>
          <w:szCs w:val="16"/>
          <w:lang w:val="pl-PL"/>
        </w:rPr>
        <w:t xml:space="preserve"> konsorcjum”</w:t>
      </w:r>
    </w:p>
  </w:footnote>
  <w:footnote w:id="7">
    <w:p w:rsidR="00C6612C" w:rsidRPr="00BE08A0" w:rsidRDefault="00C6612C" w:rsidP="009D008C">
      <w:pPr>
        <w:pStyle w:val="Tekstprzypisudolnego"/>
        <w:rPr>
          <w:lang w:val="pl-PL"/>
        </w:rPr>
      </w:pPr>
      <w:r w:rsidRPr="001709EC">
        <w:rPr>
          <w:rStyle w:val="Odwoanieprzypisudolnego"/>
          <w:sz w:val="16"/>
          <w:szCs w:val="16"/>
        </w:rPr>
        <w:footnoteRef/>
      </w:r>
      <w:r w:rsidRPr="001709EC">
        <w:rPr>
          <w:sz w:val="16"/>
          <w:szCs w:val="16"/>
          <w:lang w:val="pl-PL"/>
        </w:rPr>
        <w:t xml:space="preserve"> Analogiczne kryterium w odniesieniu do konsorcjów i w </w:t>
      </w:r>
      <w:r>
        <w:rPr>
          <w:sz w:val="16"/>
          <w:szCs w:val="16"/>
          <w:lang w:val="pl-PL"/>
        </w:rPr>
        <w:t>ramach projektów mobilności edukacyjnej w sektorze</w:t>
      </w:r>
      <w:r w:rsidRPr="001709EC">
        <w:rPr>
          <w:sz w:val="16"/>
          <w:szCs w:val="16"/>
          <w:lang w:val="pl-PL"/>
        </w:rPr>
        <w:t xml:space="preserve"> </w:t>
      </w:r>
      <w:r>
        <w:rPr>
          <w:sz w:val="16"/>
          <w:szCs w:val="16"/>
          <w:lang w:val="pl-PL"/>
        </w:rPr>
        <w:t xml:space="preserve"> w sektorze </w:t>
      </w:r>
      <w:r w:rsidRPr="001709EC">
        <w:rPr>
          <w:sz w:val="16"/>
          <w:szCs w:val="16"/>
          <w:lang w:val="pl-PL"/>
        </w:rPr>
        <w:t>szkolnictw</w:t>
      </w:r>
      <w:r>
        <w:rPr>
          <w:sz w:val="16"/>
          <w:szCs w:val="16"/>
          <w:lang w:val="pl-PL"/>
        </w:rPr>
        <w:t>a</w:t>
      </w:r>
      <w:r w:rsidRPr="001709EC">
        <w:rPr>
          <w:sz w:val="16"/>
          <w:szCs w:val="16"/>
          <w:lang w:val="pl-PL"/>
        </w:rPr>
        <w:t xml:space="preserve"> wyższ</w:t>
      </w:r>
      <w:r>
        <w:rPr>
          <w:sz w:val="16"/>
          <w:szCs w:val="16"/>
          <w:lang w:val="pl-PL"/>
        </w:rPr>
        <w:t xml:space="preserve">ego </w:t>
      </w:r>
      <w:r w:rsidRPr="001709EC">
        <w:rPr>
          <w:sz w:val="16"/>
          <w:szCs w:val="16"/>
          <w:lang w:val="pl-PL"/>
        </w:rPr>
        <w:t xml:space="preserve">„Jakość planu </w:t>
      </w:r>
      <w:r>
        <w:rPr>
          <w:sz w:val="16"/>
          <w:szCs w:val="16"/>
          <w:lang w:val="pl-PL"/>
        </w:rPr>
        <w:t xml:space="preserve">/ koncepcji </w:t>
      </w:r>
      <w:r w:rsidRPr="001709EC">
        <w:rPr>
          <w:sz w:val="16"/>
          <w:szCs w:val="16"/>
          <w:lang w:val="pl-PL"/>
        </w:rPr>
        <w:t>projektu</w:t>
      </w:r>
      <w:r>
        <w:rPr>
          <w:sz w:val="16"/>
          <w:szCs w:val="16"/>
          <w:lang w:val="pl-PL"/>
        </w:rPr>
        <w:t xml:space="preserve"> </w:t>
      </w:r>
      <w:r w:rsidRPr="001709EC">
        <w:rPr>
          <w:sz w:val="16"/>
          <w:szCs w:val="16"/>
          <w:lang w:val="pl-PL"/>
        </w:rPr>
        <w:t xml:space="preserve"> i jego realizacji”</w:t>
      </w:r>
    </w:p>
  </w:footnote>
  <w:footnote w:id="8">
    <w:p w:rsidR="00C6612C" w:rsidRPr="00BE08A0" w:rsidRDefault="00C6612C" w:rsidP="009D008C">
      <w:pPr>
        <w:pStyle w:val="Tekstprzypisudolnego"/>
        <w:rPr>
          <w:lang w:val="pl-PL"/>
        </w:rPr>
      </w:pPr>
      <w:r w:rsidRPr="001709EC">
        <w:rPr>
          <w:rStyle w:val="Odwoanieprzypisudolnego"/>
          <w:sz w:val="16"/>
          <w:szCs w:val="16"/>
        </w:rPr>
        <w:footnoteRef/>
      </w:r>
      <w:r w:rsidRPr="001709EC">
        <w:rPr>
          <w:sz w:val="16"/>
          <w:szCs w:val="16"/>
          <w:lang w:val="pl-PL"/>
        </w:rPr>
        <w:t xml:space="preserve"> Analogiczne kryterium w odniesieniu do konsorcjów  w</w:t>
      </w:r>
      <w:r>
        <w:rPr>
          <w:sz w:val="16"/>
          <w:szCs w:val="16"/>
          <w:lang w:val="pl-PL"/>
        </w:rPr>
        <w:t xml:space="preserve"> ramach projektów mobilności edukacyjnej w sektorze </w:t>
      </w:r>
      <w:r w:rsidRPr="001709EC">
        <w:rPr>
          <w:sz w:val="16"/>
          <w:szCs w:val="16"/>
          <w:lang w:val="pl-PL"/>
        </w:rPr>
        <w:t xml:space="preserve"> szkolnictw</w:t>
      </w:r>
      <w:r>
        <w:rPr>
          <w:sz w:val="16"/>
          <w:szCs w:val="16"/>
          <w:lang w:val="pl-PL"/>
        </w:rPr>
        <w:t xml:space="preserve">a </w:t>
      </w:r>
      <w:r w:rsidRPr="001709EC">
        <w:rPr>
          <w:sz w:val="16"/>
          <w:szCs w:val="16"/>
          <w:lang w:val="pl-PL"/>
        </w:rPr>
        <w:t xml:space="preserve"> wyższ</w:t>
      </w:r>
      <w:r>
        <w:rPr>
          <w:sz w:val="16"/>
          <w:szCs w:val="16"/>
          <w:lang w:val="pl-PL"/>
        </w:rPr>
        <w:t>ego</w:t>
      </w:r>
      <w:r w:rsidRPr="001709EC">
        <w:rPr>
          <w:sz w:val="16"/>
          <w:szCs w:val="16"/>
          <w:lang w:val="pl-PL"/>
        </w:rPr>
        <w:t xml:space="preserve"> „Jakość </w:t>
      </w:r>
      <w:r>
        <w:rPr>
          <w:sz w:val="16"/>
          <w:szCs w:val="16"/>
          <w:lang w:val="pl-PL"/>
        </w:rPr>
        <w:t>partnerstwa</w:t>
      </w:r>
      <w:r w:rsidRPr="001709EC">
        <w:rPr>
          <w:sz w:val="16"/>
          <w:szCs w:val="16"/>
          <w:lang w:val="pl-PL"/>
        </w:rPr>
        <w:t xml:space="preserve"> i </w:t>
      </w:r>
      <w:r>
        <w:rPr>
          <w:sz w:val="16"/>
          <w:szCs w:val="16"/>
          <w:lang w:val="pl-PL"/>
        </w:rPr>
        <w:t xml:space="preserve">metod </w:t>
      </w:r>
      <w:r w:rsidRPr="001709EC">
        <w:rPr>
          <w:sz w:val="16"/>
          <w:szCs w:val="16"/>
          <w:lang w:val="pl-PL"/>
        </w:rPr>
        <w:t xml:space="preserve"> współpracy </w:t>
      </w:r>
      <w:r>
        <w:rPr>
          <w:sz w:val="16"/>
          <w:szCs w:val="16"/>
          <w:lang w:val="pl-PL"/>
        </w:rPr>
        <w:t xml:space="preserve">w ramach </w:t>
      </w:r>
      <w:r w:rsidRPr="001709EC">
        <w:rPr>
          <w:sz w:val="16"/>
          <w:szCs w:val="16"/>
          <w:lang w:val="pl-PL"/>
        </w:rPr>
        <w:t>konsorcjum</w:t>
      </w:r>
      <w:r>
        <w:rPr>
          <w:sz w:val="16"/>
          <w:szCs w:val="16"/>
          <w:lang w:val="pl-PL"/>
        </w:rPr>
        <w:t>”</w:t>
      </w:r>
    </w:p>
  </w:footnote>
  <w:footnote w:id="9">
    <w:p w:rsidR="00C6612C" w:rsidRPr="00BE08A0" w:rsidRDefault="00C6612C" w:rsidP="009D008C">
      <w:pPr>
        <w:pStyle w:val="Tekstprzypisudolnego"/>
        <w:rPr>
          <w:lang w:val="pl-PL"/>
        </w:rPr>
      </w:pPr>
      <w:r w:rsidRPr="00DA44D1">
        <w:rPr>
          <w:rStyle w:val="Odwoanieprzypisudolnego"/>
          <w:sz w:val="16"/>
          <w:szCs w:val="16"/>
        </w:rPr>
        <w:footnoteRef/>
      </w:r>
      <w:r w:rsidRPr="00DA44D1">
        <w:rPr>
          <w:sz w:val="16"/>
          <w:szCs w:val="16"/>
          <w:lang w:val="pl-PL"/>
        </w:rPr>
        <w:t xml:space="preserve"> Wymóg ten nie ma zastosowania w przypadku, gdy punktacja przyznana przez obu ekspertów </w:t>
      </w:r>
      <w:r>
        <w:rPr>
          <w:sz w:val="16"/>
          <w:szCs w:val="16"/>
          <w:lang w:val="pl-PL"/>
        </w:rPr>
        <w:t xml:space="preserve"> jest poniżej progu  w  danym kryterium bądź kryteriach oceny </w:t>
      </w:r>
      <w:r w:rsidRPr="00DA44D1">
        <w:rPr>
          <w:sz w:val="16"/>
          <w:szCs w:val="16"/>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2C" w:rsidRDefault="00C6612C">
    <w:pPr>
      <w:pStyle w:val="Nagwek"/>
    </w:pPr>
    <w:r>
      <w:rPr>
        <w:noProof/>
        <w:lang w:val="pl-PL" w:eastAsia="pl-PL"/>
      </w:rPr>
      <w:drawing>
        <wp:anchor distT="0" distB="0" distL="114300" distR="114300" simplePos="0" relativeHeight="251658240" behindDoc="1" locked="0" layoutInCell="1" allowOverlap="1">
          <wp:simplePos x="0" y="0"/>
          <wp:positionH relativeFrom="column">
            <wp:posOffset>-1061720</wp:posOffset>
          </wp:positionH>
          <wp:positionV relativeFrom="paragraph">
            <wp:posOffset>-418992</wp:posOffset>
          </wp:positionV>
          <wp:extent cx="7553463" cy="803081"/>
          <wp:effectExtent l="19050" t="0" r="9387" b="0"/>
          <wp:wrapNone/>
          <wp:docPr id="1" name="Obraz 1" descr="pasek-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gora"/>
                  <pic:cNvPicPr>
                    <a:picLocks noChangeAspect="1" noChangeArrowheads="1"/>
                  </pic:cNvPicPr>
                </pic:nvPicPr>
                <pic:blipFill>
                  <a:blip r:embed="rId1"/>
                  <a:srcRect/>
                  <a:stretch>
                    <a:fillRect/>
                  </a:stretch>
                </pic:blipFill>
                <pic:spPr bwMode="auto">
                  <a:xfrm>
                    <a:off x="0" y="0"/>
                    <a:ext cx="7553463" cy="803081"/>
                  </a:xfrm>
                  <a:prstGeom prst="rect">
                    <a:avLst/>
                  </a:prstGeom>
                  <a:noFill/>
                  <a:ln w="9525">
                    <a:noFill/>
                    <a:miter lim="800000"/>
                    <a:headEnd/>
                    <a:tailEnd/>
                  </a:ln>
                </pic:spPr>
              </pic:pic>
            </a:graphicData>
          </a:graphic>
        </wp:anchor>
      </w:drawing>
    </w:r>
  </w:p>
  <w:p w:rsidR="00C6612C" w:rsidRDefault="00C66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B6C"/>
    <w:multiLevelType w:val="hybridMultilevel"/>
    <w:tmpl w:val="B8F406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8C0BB2"/>
    <w:multiLevelType w:val="hybridMultilevel"/>
    <w:tmpl w:val="B24C901E"/>
    <w:lvl w:ilvl="0" w:tplc="04150005">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
    <w:nsid w:val="12FE3EA4"/>
    <w:multiLevelType w:val="hybridMultilevel"/>
    <w:tmpl w:val="BA2829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747C94"/>
    <w:multiLevelType w:val="hybridMultilevel"/>
    <w:tmpl w:val="34DA0F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A21B78"/>
    <w:multiLevelType w:val="multilevel"/>
    <w:tmpl w:val="EAAEDC44"/>
    <w:lvl w:ilvl="0">
      <w:start w:val="3"/>
      <w:numFmt w:val="decimal"/>
      <w:lvlText w:val="%1"/>
      <w:lvlJc w:val="left"/>
      <w:pPr>
        <w:ind w:left="360" w:hanging="360"/>
      </w:pPr>
      <w:rPr>
        <w:rFonts w:cs="Times New Roman" w:hint="default"/>
      </w:rPr>
    </w:lvl>
    <w:lvl w:ilvl="1">
      <w:start w:val="1"/>
      <w:numFmt w:val="decimal"/>
      <w:lvlText w:val="%1.%2"/>
      <w:lvlJc w:val="left"/>
      <w:pPr>
        <w:ind w:left="4690" w:hanging="720"/>
      </w:pPr>
      <w:rPr>
        <w:rFonts w:cs="Times New Roman" w:hint="default"/>
        <w:b/>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520" w:hanging="144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920" w:hanging="1800"/>
      </w:pPr>
      <w:rPr>
        <w:rFonts w:cs="Times New Roman" w:hint="default"/>
      </w:rPr>
    </w:lvl>
    <w:lvl w:ilvl="7">
      <w:start w:val="1"/>
      <w:numFmt w:val="decimal"/>
      <w:lvlText w:val="%1.%2.%3.%4.%5.%6.%7.%8"/>
      <w:lvlJc w:val="left"/>
      <w:pPr>
        <w:ind w:left="2300" w:hanging="2160"/>
      </w:pPr>
      <w:rPr>
        <w:rFonts w:cs="Times New Roman" w:hint="default"/>
      </w:rPr>
    </w:lvl>
    <w:lvl w:ilvl="8">
      <w:start w:val="1"/>
      <w:numFmt w:val="decimal"/>
      <w:lvlText w:val="%1.%2.%3.%4.%5.%6.%7.%8.%9"/>
      <w:lvlJc w:val="left"/>
      <w:pPr>
        <w:ind w:left="2320" w:hanging="2160"/>
      </w:pPr>
      <w:rPr>
        <w:rFonts w:cs="Times New Roman" w:hint="default"/>
      </w:rPr>
    </w:lvl>
  </w:abstractNum>
  <w:abstractNum w:abstractNumId="5">
    <w:nsid w:val="27B2046C"/>
    <w:multiLevelType w:val="hybridMultilevel"/>
    <w:tmpl w:val="839EE552"/>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6">
    <w:nsid w:val="2A4667B4"/>
    <w:multiLevelType w:val="hybridMultilevel"/>
    <w:tmpl w:val="6B04FFF4"/>
    <w:lvl w:ilvl="0" w:tplc="04150005">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7">
    <w:nsid w:val="32577269"/>
    <w:multiLevelType w:val="hybridMultilevel"/>
    <w:tmpl w:val="8D0C9A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28E2568"/>
    <w:multiLevelType w:val="hybridMultilevel"/>
    <w:tmpl w:val="7618E1E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CB06083"/>
    <w:multiLevelType w:val="hybridMultilevel"/>
    <w:tmpl w:val="7C8219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A2A6FDA"/>
    <w:multiLevelType w:val="hybridMultilevel"/>
    <w:tmpl w:val="857EBECC"/>
    <w:lvl w:ilvl="0" w:tplc="04150005">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511A154A"/>
    <w:multiLevelType w:val="hybridMultilevel"/>
    <w:tmpl w:val="DEC27458"/>
    <w:lvl w:ilvl="0" w:tplc="04150005">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D5A0DAF"/>
    <w:multiLevelType w:val="hybridMultilevel"/>
    <w:tmpl w:val="553C4B3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C413D62"/>
    <w:multiLevelType w:val="multilevel"/>
    <w:tmpl w:val="3B242FEC"/>
    <w:lvl w:ilvl="0">
      <w:start w:val="3"/>
      <w:numFmt w:val="decimal"/>
      <w:lvlText w:val="%1"/>
      <w:lvlJc w:val="left"/>
      <w:pPr>
        <w:ind w:left="360" w:hanging="360"/>
      </w:pPr>
      <w:rPr>
        <w:rFonts w:hint="default"/>
        <w:b w:val="0"/>
      </w:rPr>
    </w:lvl>
    <w:lvl w:ilvl="1">
      <w:start w:val="5"/>
      <w:numFmt w:val="decimal"/>
      <w:lvlText w:val="%1.%2"/>
      <w:lvlJc w:val="left"/>
      <w:pPr>
        <w:ind w:left="380" w:hanging="360"/>
      </w:pPr>
      <w:rPr>
        <w:rFonts w:hint="default"/>
        <w:b/>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180" w:hanging="108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580" w:hanging="1440"/>
      </w:pPr>
      <w:rPr>
        <w:rFonts w:hint="default"/>
        <w:b w:val="0"/>
      </w:rPr>
    </w:lvl>
    <w:lvl w:ilvl="8">
      <w:start w:val="1"/>
      <w:numFmt w:val="decimal"/>
      <w:lvlText w:val="%1.%2.%3.%4.%5.%6.%7.%8.%9"/>
      <w:lvlJc w:val="left"/>
      <w:pPr>
        <w:ind w:left="1960" w:hanging="1800"/>
      </w:pPr>
      <w:rPr>
        <w:rFonts w:hint="default"/>
        <w:b w:val="0"/>
      </w:rPr>
    </w:lvl>
  </w:abstractNum>
  <w:abstractNum w:abstractNumId="15">
    <w:nsid w:val="6E4B1329"/>
    <w:multiLevelType w:val="hybridMultilevel"/>
    <w:tmpl w:val="D6E24ADC"/>
    <w:lvl w:ilvl="0" w:tplc="B6A0CD20">
      <w:start w:val="1"/>
      <w:numFmt w:val="decimal"/>
      <w:lvlText w:val="(%1)"/>
      <w:lvlJc w:val="left"/>
      <w:pPr>
        <w:ind w:left="218" w:hanging="360"/>
      </w:pPr>
      <w:rPr>
        <w:rFonts w:hint="default"/>
        <w:u w:val="none"/>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nsid w:val="72EE601A"/>
    <w:multiLevelType w:val="hybridMultilevel"/>
    <w:tmpl w:val="75EEAE9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8300F26"/>
    <w:multiLevelType w:val="hybridMultilevel"/>
    <w:tmpl w:val="BB7C3A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004B2A"/>
    <w:multiLevelType w:val="hybridMultilevel"/>
    <w:tmpl w:val="6C22BEF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12"/>
  </w:num>
  <w:num w:numId="6">
    <w:abstractNumId w:val="14"/>
  </w:num>
  <w:num w:numId="7">
    <w:abstractNumId w:val="1"/>
  </w:num>
  <w:num w:numId="8">
    <w:abstractNumId w:val="5"/>
  </w:num>
  <w:num w:numId="9">
    <w:abstractNumId w:val="13"/>
  </w:num>
  <w:num w:numId="10">
    <w:abstractNumId w:val="16"/>
  </w:num>
  <w:num w:numId="11">
    <w:abstractNumId w:val="7"/>
  </w:num>
  <w:num w:numId="12">
    <w:abstractNumId w:val="18"/>
  </w:num>
  <w:num w:numId="13">
    <w:abstractNumId w:val="0"/>
  </w:num>
  <w:num w:numId="14">
    <w:abstractNumId w:val="9"/>
  </w:num>
  <w:num w:numId="15">
    <w:abstractNumId w:val="2"/>
  </w:num>
  <w:num w:numId="16">
    <w:abstractNumId w:val="17"/>
  </w:num>
  <w:num w:numId="17">
    <w:abstractNumId w:val="3"/>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D008C"/>
    <w:rsid w:val="000709BF"/>
    <w:rsid w:val="00112F45"/>
    <w:rsid w:val="00161ABC"/>
    <w:rsid w:val="001A45D8"/>
    <w:rsid w:val="001F3D38"/>
    <w:rsid w:val="002523A4"/>
    <w:rsid w:val="002A1F42"/>
    <w:rsid w:val="002E7A18"/>
    <w:rsid w:val="004D0F57"/>
    <w:rsid w:val="005943E2"/>
    <w:rsid w:val="005D5D0D"/>
    <w:rsid w:val="00673717"/>
    <w:rsid w:val="006828B4"/>
    <w:rsid w:val="006E0B56"/>
    <w:rsid w:val="007C61BC"/>
    <w:rsid w:val="008261C3"/>
    <w:rsid w:val="00911E55"/>
    <w:rsid w:val="009155BB"/>
    <w:rsid w:val="009D008C"/>
    <w:rsid w:val="009D7E51"/>
    <w:rsid w:val="00B663EA"/>
    <w:rsid w:val="00B82A2B"/>
    <w:rsid w:val="00C1256F"/>
    <w:rsid w:val="00C371FE"/>
    <w:rsid w:val="00C56DB3"/>
    <w:rsid w:val="00C6612C"/>
    <w:rsid w:val="00D25E9D"/>
    <w:rsid w:val="00DB0B5C"/>
    <w:rsid w:val="00DE1AEB"/>
    <w:rsid w:val="00DE6ED4"/>
    <w:rsid w:val="00E90C04"/>
    <w:rsid w:val="00EC4DAA"/>
    <w:rsid w:val="00F16D36"/>
    <w:rsid w:val="00FC0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08C"/>
    <w:pPr>
      <w:spacing w:after="0" w:line="240" w:lineRule="auto"/>
    </w:pPr>
    <w:rPr>
      <w:rFonts w:ascii="Microsoft Sans Serif" w:eastAsia="Times New Roman" w:hAnsi="Microsoft Sans Serif" w:cs="Microsoft Sans Serif"/>
      <w:color w:val="000000"/>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
    <w:basedOn w:val="Domylnaczcionkaakapitu"/>
    <w:link w:val="Nagwek21"/>
    <w:uiPriority w:val="99"/>
    <w:locked/>
    <w:rsid w:val="009D008C"/>
    <w:rPr>
      <w:rFonts w:ascii="Verdana" w:hAnsi="Verdana" w:cs="Verdana"/>
      <w:b/>
      <w:bCs/>
      <w:sz w:val="28"/>
      <w:szCs w:val="28"/>
      <w:shd w:val="clear" w:color="auto" w:fill="FFFFFF"/>
    </w:rPr>
  </w:style>
  <w:style w:type="character" w:customStyle="1" w:styleId="Nagwek23">
    <w:name w:val="Nagłówek #23"/>
    <w:basedOn w:val="Nagwek2"/>
    <w:uiPriority w:val="99"/>
    <w:rsid w:val="009D008C"/>
  </w:style>
  <w:style w:type="character" w:customStyle="1" w:styleId="Teksttreci">
    <w:name w:val="Tekst treści"/>
    <w:basedOn w:val="Domylnaczcionkaakapitu"/>
    <w:link w:val="Teksttreci1"/>
    <w:uiPriority w:val="99"/>
    <w:locked/>
    <w:rsid w:val="009D008C"/>
    <w:rPr>
      <w:rFonts w:ascii="Verdana" w:hAnsi="Verdana" w:cs="Verdana"/>
      <w:sz w:val="20"/>
      <w:szCs w:val="20"/>
      <w:shd w:val="clear" w:color="auto" w:fill="FFFFFF"/>
    </w:rPr>
  </w:style>
  <w:style w:type="character" w:customStyle="1" w:styleId="Teksttreci5">
    <w:name w:val="Tekst treści (5)"/>
    <w:basedOn w:val="Domylnaczcionkaakapitu"/>
    <w:link w:val="Teksttreci51"/>
    <w:uiPriority w:val="99"/>
    <w:locked/>
    <w:rsid w:val="009D008C"/>
    <w:rPr>
      <w:rFonts w:ascii="Verdana" w:hAnsi="Verdana" w:cs="Verdana"/>
      <w:sz w:val="20"/>
      <w:szCs w:val="20"/>
      <w:shd w:val="clear" w:color="auto" w:fill="FFFFFF"/>
    </w:rPr>
  </w:style>
  <w:style w:type="character" w:customStyle="1" w:styleId="Nagwek3">
    <w:name w:val="Nagłówek #3"/>
    <w:basedOn w:val="Domylnaczcionkaakapitu"/>
    <w:link w:val="Nagwek31"/>
    <w:uiPriority w:val="99"/>
    <w:locked/>
    <w:rsid w:val="009D008C"/>
    <w:rPr>
      <w:rFonts w:ascii="Verdana" w:hAnsi="Verdana" w:cs="Verdana"/>
      <w:b/>
      <w:bCs/>
      <w:sz w:val="20"/>
      <w:szCs w:val="20"/>
      <w:shd w:val="clear" w:color="auto" w:fill="FFFFFF"/>
    </w:rPr>
  </w:style>
  <w:style w:type="character" w:customStyle="1" w:styleId="Nagwek33">
    <w:name w:val="Nagłówek #33"/>
    <w:basedOn w:val="Nagwek3"/>
    <w:uiPriority w:val="99"/>
    <w:rsid w:val="009D008C"/>
  </w:style>
  <w:style w:type="character" w:customStyle="1" w:styleId="Teksttreci7">
    <w:name w:val="Tekst treści (7)"/>
    <w:basedOn w:val="Domylnaczcionkaakapitu"/>
    <w:link w:val="Teksttreci71"/>
    <w:uiPriority w:val="99"/>
    <w:locked/>
    <w:rsid w:val="009D008C"/>
    <w:rPr>
      <w:rFonts w:ascii="Verdana" w:hAnsi="Verdana" w:cs="Verdana"/>
      <w:sz w:val="18"/>
      <w:szCs w:val="18"/>
      <w:shd w:val="clear" w:color="auto" w:fill="FFFFFF"/>
    </w:rPr>
  </w:style>
  <w:style w:type="character" w:customStyle="1" w:styleId="Teksttreci10">
    <w:name w:val="Tekst treści (10)"/>
    <w:basedOn w:val="Domylnaczcionkaakapitu"/>
    <w:link w:val="Teksttreci101"/>
    <w:uiPriority w:val="99"/>
    <w:locked/>
    <w:rsid w:val="009D008C"/>
    <w:rPr>
      <w:rFonts w:ascii="Verdana" w:hAnsi="Verdana" w:cs="Verdana"/>
      <w:sz w:val="20"/>
      <w:szCs w:val="20"/>
      <w:shd w:val="clear" w:color="auto" w:fill="FFFFFF"/>
    </w:rPr>
  </w:style>
  <w:style w:type="character" w:customStyle="1" w:styleId="Teksttreci104">
    <w:name w:val="Tekst treści (10)4"/>
    <w:basedOn w:val="Teksttreci10"/>
    <w:uiPriority w:val="99"/>
    <w:rsid w:val="009D008C"/>
  </w:style>
  <w:style w:type="character" w:customStyle="1" w:styleId="Teksttreci50">
    <w:name w:val="Tekst treści5"/>
    <w:basedOn w:val="Teksttreci"/>
    <w:uiPriority w:val="99"/>
    <w:rsid w:val="009D008C"/>
  </w:style>
  <w:style w:type="character" w:customStyle="1" w:styleId="Teksttreci11">
    <w:name w:val="Tekst treści (11)"/>
    <w:basedOn w:val="Domylnaczcionkaakapitu"/>
    <w:link w:val="Teksttreci111"/>
    <w:uiPriority w:val="99"/>
    <w:locked/>
    <w:rsid w:val="009D008C"/>
    <w:rPr>
      <w:rFonts w:ascii="Verdana" w:hAnsi="Verdana" w:cs="Verdana"/>
      <w:sz w:val="20"/>
      <w:szCs w:val="20"/>
      <w:shd w:val="clear" w:color="auto" w:fill="FFFFFF"/>
    </w:rPr>
  </w:style>
  <w:style w:type="character" w:customStyle="1" w:styleId="Teksttreci12">
    <w:name w:val="Tekst treści (12)"/>
    <w:basedOn w:val="Domylnaczcionkaakapitu"/>
    <w:link w:val="Teksttreci121"/>
    <w:uiPriority w:val="99"/>
    <w:locked/>
    <w:rsid w:val="009D008C"/>
    <w:rPr>
      <w:rFonts w:ascii="Verdana" w:hAnsi="Verdana" w:cs="Verdana"/>
      <w:b/>
      <w:bCs/>
      <w:sz w:val="20"/>
      <w:szCs w:val="20"/>
      <w:shd w:val="clear" w:color="auto" w:fill="FFFFFF"/>
    </w:rPr>
  </w:style>
  <w:style w:type="character" w:customStyle="1" w:styleId="Teksttreci14">
    <w:name w:val="Tekst treści (14)"/>
    <w:basedOn w:val="Domylnaczcionkaakapitu"/>
    <w:link w:val="Teksttreci141"/>
    <w:uiPriority w:val="99"/>
    <w:locked/>
    <w:rsid w:val="009D008C"/>
    <w:rPr>
      <w:rFonts w:ascii="Verdana" w:hAnsi="Verdana" w:cs="Verdana"/>
      <w:sz w:val="20"/>
      <w:szCs w:val="20"/>
      <w:shd w:val="clear" w:color="auto" w:fill="FFFFFF"/>
    </w:rPr>
  </w:style>
  <w:style w:type="character" w:customStyle="1" w:styleId="Teksttreci5Pogrubienie">
    <w:name w:val="Tekst treści (5) + Pogrubienie"/>
    <w:basedOn w:val="Teksttreci5"/>
    <w:uiPriority w:val="99"/>
    <w:rsid w:val="009D008C"/>
    <w:rPr>
      <w:b/>
      <w:bCs/>
    </w:rPr>
  </w:style>
  <w:style w:type="paragraph" w:customStyle="1" w:styleId="Nagwek21">
    <w:name w:val="Nagłówek #21"/>
    <w:basedOn w:val="Normalny"/>
    <w:link w:val="Nagwek2"/>
    <w:uiPriority w:val="99"/>
    <w:rsid w:val="009D008C"/>
    <w:pPr>
      <w:shd w:val="clear" w:color="auto" w:fill="FFFFFF"/>
      <w:spacing w:before="1140" w:line="301" w:lineRule="exact"/>
      <w:outlineLvl w:val="1"/>
    </w:pPr>
    <w:rPr>
      <w:rFonts w:ascii="Verdana" w:eastAsiaTheme="minorHAnsi" w:hAnsi="Verdana" w:cs="Verdana"/>
      <w:b/>
      <w:bCs/>
      <w:color w:val="auto"/>
      <w:sz w:val="28"/>
      <w:szCs w:val="28"/>
      <w:lang w:val="pl-PL"/>
    </w:rPr>
  </w:style>
  <w:style w:type="paragraph" w:customStyle="1" w:styleId="Teksttreci1">
    <w:name w:val="Tekst treści1"/>
    <w:basedOn w:val="Normalny"/>
    <w:link w:val="Teksttreci"/>
    <w:uiPriority w:val="99"/>
    <w:rsid w:val="009D008C"/>
    <w:pPr>
      <w:shd w:val="clear" w:color="auto" w:fill="FFFFFF"/>
      <w:spacing w:before="180" w:after="180" w:line="243" w:lineRule="exact"/>
      <w:jc w:val="both"/>
    </w:pPr>
    <w:rPr>
      <w:rFonts w:ascii="Verdana" w:eastAsiaTheme="minorHAnsi" w:hAnsi="Verdana" w:cs="Verdana"/>
      <w:color w:val="auto"/>
      <w:sz w:val="20"/>
      <w:szCs w:val="20"/>
      <w:lang w:val="pl-PL"/>
    </w:rPr>
  </w:style>
  <w:style w:type="paragraph" w:customStyle="1" w:styleId="Teksttreci51">
    <w:name w:val="Tekst treści (5)1"/>
    <w:basedOn w:val="Normalny"/>
    <w:link w:val="Teksttreci5"/>
    <w:uiPriority w:val="99"/>
    <w:rsid w:val="009D008C"/>
    <w:pPr>
      <w:shd w:val="clear" w:color="auto" w:fill="FFFFFF"/>
      <w:spacing w:before="180" w:after="60" w:line="240" w:lineRule="atLeast"/>
    </w:pPr>
    <w:rPr>
      <w:rFonts w:ascii="Verdana" w:eastAsiaTheme="minorHAnsi" w:hAnsi="Verdana" w:cs="Verdana"/>
      <w:color w:val="auto"/>
      <w:sz w:val="20"/>
      <w:szCs w:val="20"/>
      <w:lang w:val="pl-PL"/>
    </w:rPr>
  </w:style>
  <w:style w:type="paragraph" w:customStyle="1" w:styleId="Nagwek31">
    <w:name w:val="Nagłówek #31"/>
    <w:basedOn w:val="Normalny"/>
    <w:link w:val="Nagwek3"/>
    <w:uiPriority w:val="99"/>
    <w:rsid w:val="009D008C"/>
    <w:pPr>
      <w:shd w:val="clear" w:color="auto" w:fill="FFFFFF"/>
      <w:spacing w:before="300" w:after="180" w:line="240" w:lineRule="atLeast"/>
      <w:outlineLvl w:val="2"/>
    </w:pPr>
    <w:rPr>
      <w:rFonts w:ascii="Verdana" w:eastAsiaTheme="minorHAnsi" w:hAnsi="Verdana" w:cs="Verdana"/>
      <w:b/>
      <w:bCs/>
      <w:color w:val="auto"/>
      <w:sz w:val="20"/>
      <w:szCs w:val="20"/>
      <w:lang w:val="pl-PL"/>
    </w:rPr>
  </w:style>
  <w:style w:type="paragraph" w:customStyle="1" w:styleId="Teksttreci71">
    <w:name w:val="Tekst treści (7)1"/>
    <w:basedOn w:val="Normalny"/>
    <w:link w:val="Teksttreci7"/>
    <w:uiPriority w:val="99"/>
    <w:rsid w:val="009D008C"/>
    <w:pPr>
      <w:shd w:val="clear" w:color="auto" w:fill="FFFFFF"/>
      <w:spacing w:after="60" w:line="240" w:lineRule="atLeast"/>
      <w:ind w:hanging="420"/>
    </w:pPr>
    <w:rPr>
      <w:rFonts w:ascii="Verdana" w:eastAsiaTheme="minorHAnsi" w:hAnsi="Verdana" w:cs="Verdana"/>
      <w:color w:val="auto"/>
      <w:sz w:val="18"/>
      <w:szCs w:val="18"/>
      <w:lang w:val="pl-PL"/>
    </w:rPr>
  </w:style>
  <w:style w:type="paragraph" w:customStyle="1" w:styleId="Teksttreci101">
    <w:name w:val="Tekst treści (10)1"/>
    <w:basedOn w:val="Normalny"/>
    <w:link w:val="Teksttreci10"/>
    <w:uiPriority w:val="99"/>
    <w:rsid w:val="009D008C"/>
    <w:pPr>
      <w:shd w:val="clear" w:color="auto" w:fill="FFFFFF"/>
      <w:spacing w:before="300" w:after="180" w:line="243" w:lineRule="exact"/>
      <w:ind w:hanging="360"/>
      <w:jc w:val="both"/>
    </w:pPr>
    <w:rPr>
      <w:rFonts w:ascii="Verdana" w:eastAsiaTheme="minorHAnsi" w:hAnsi="Verdana" w:cs="Verdana"/>
      <w:color w:val="auto"/>
      <w:sz w:val="20"/>
      <w:szCs w:val="20"/>
      <w:lang w:val="pl-PL"/>
    </w:rPr>
  </w:style>
  <w:style w:type="paragraph" w:customStyle="1" w:styleId="Teksttreci111">
    <w:name w:val="Tekst treści (11)1"/>
    <w:basedOn w:val="Normalny"/>
    <w:link w:val="Teksttreci11"/>
    <w:uiPriority w:val="99"/>
    <w:rsid w:val="009D008C"/>
    <w:pPr>
      <w:shd w:val="clear" w:color="auto" w:fill="FFFFFF"/>
      <w:spacing w:before="240" w:line="483" w:lineRule="exact"/>
      <w:ind w:hanging="360"/>
    </w:pPr>
    <w:rPr>
      <w:rFonts w:ascii="Verdana" w:eastAsiaTheme="minorHAnsi" w:hAnsi="Verdana" w:cs="Verdana"/>
      <w:color w:val="auto"/>
      <w:sz w:val="20"/>
      <w:szCs w:val="20"/>
      <w:lang w:val="pl-PL"/>
    </w:rPr>
  </w:style>
  <w:style w:type="paragraph" w:customStyle="1" w:styleId="Teksttreci121">
    <w:name w:val="Tekst treści (12)1"/>
    <w:basedOn w:val="Normalny"/>
    <w:link w:val="Teksttreci12"/>
    <w:uiPriority w:val="99"/>
    <w:rsid w:val="009D008C"/>
    <w:pPr>
      <w:shd w:val="clear" w:color="auto" w:fill="FFFFFF"/>
      <w:spacing w:line="240" w:lineRule="atLeast"/>
    </w:pPr>
    <w:rPr>
      <w:rFonts w:ascii="Verdana" w:eastAsiaTheme="minorHAnsi" w:hAnsi="Verdana" w:cs="Verdana"/>
      <w:b/>
      <w:bCs/>
      <w:color w:val="auto"/>
      <w:sz w:val="20"/>
      <w:szCs w:val="20"/>
      <w:lang w:val="pl-PL"/>
    </w:rPr>
  </w:style>
  <w:style w:type="paragraph" w:customStyle="1" w:styleId="Teksttreci141">
    <w:name w:val="Tekst treści (14)1"/>
    <w:basedOn w:val="Normalny"/>
    <w:link w:val="Teksttreci14"/>
    <w:uiPriority w:val="99"/>
    <w:rsid w:val="009D008C"/>
    <w:pPr>
      <w:shd w:val="clear" w:color="auto" w:fill="FFFFFF"/>
      <w:spacing w:line="243" w:lineRule="exact"/>
      <w:jc w:val="right"/>
    </w:pPr>
    <w:rPr>
      <w:rFonts w:ascii="Verdana" w:eastAsiaTheme="minorHAnsi" w:hAnsi="Verdana" w:cs="Verdana"/>
      <w:color w:val="auto"/>
      <w:sz w:val="20"/>
      <w:szCs w:val="20"/>
      <w:lang w:val="pl-PL"/>
    </w:rPr>
  </w:style>
  <w:style w:type="paragraph" w:styleId="Tekstprzypisudolnego">
    <w:name w:val="footnote text"/>
    <w:basedOn w:val="Normalny"/>
    <w:link w:val="TekstprzypisudolnegoZnak"/>
    <w:unhideWhenUsed/>
    <w:rsid w:val="009D008C"/>
    <w:rPr>
      <w:sz w:val="20"/>
      <w:szCs w:val="20"/>
    </w:rPr>
  </w:style>
  <w:style w:type="character" w:customStyle="1" w:styleId="TekstprzypisudolnegoZnak">
    <w:name w:val="Tekst przypisu dolnego Znak"/>
    <w:basedOn w:val="Domylnaczcionkaakapitu"/>
    <w:link w:val="Tekstprzypisudolnego"/>
    <w:rsid w:val="009D008C"/>
    <w:rPr>
      <w:rFonts w:ascii="Microsoft Sans Serif" w:eastAsia="Times New Roman" w:hAnsi="Microsoft Sans Serif" w:cs="Microsoft Sans Serif"/>
      <w:color w:val="000000"/>
      <w:sz w:val="20"/>
      <w:szCs w:val="20"/>
      <w:lang w:val="en-US"/>
    </w:rPr>
  </w:style>
  <w:style w:type="character" w:styleId="Odwoanieprzypisudolnego">
    <w:name w:val="footnote reference"/>
    <w:basedOn w:val="Domylnaczcionkaakapitu"/>
    <w:unhideWhenUsed/>
    <w:rsid w:val="009D008C"/>
    <w:rPr>
      <w:rFonts w:cs="Times New Roman"/>
      <w:vertAlign w:val="superscript"/>
    </w:rPr>
  </w:style>
  <w:style w:type="paragraph" w:customStyle="1" w:styleId="Default">
    <w:name w:val="Default"/>
    <w:rsid w:val="009D008C"/>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table" w:styleId="Tabela-Siatka">
    <w:name w:val="Table Grid"/>
    <w:basedOn w:val="Standardowy"/>
    <w:uiPriority w:val="59"/>
    <w:rsid w:val="00B663EA"/>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2">
    <w:name w:val="Nagłówek #32"/>
    <w:basedOn w:val="Nagwek3"/>
    <w:uiPriority w:val="99"/>
    <w:rsid w:val="00B663EA"/>
    <w:rPr>
      <w:noProof/>
    </w:rPr>
  </w:style>
  <w:style w:type="character" w:customStyle="1" w:styleId="Teksttreci18">
    <w:name w:val="Tekst treści (18)"/>
    <w:basedOn w:val="Domylnaczcionkaakapitu"/>
    <w:link w:val="Teksttreci181"/>
    <w:uiPriority w:val="99"/>
    <w:locked/>
    <w:rsid w:val="00B663EA"/>
    <w:rPr>
      <w:rFonts w:ascii="Verdana" w:hAnsi="Verdana" w:cs="Verdana"/>
      <w:sz w:val="20"/>
      <w:szCs w:val="20"/>
      <w:shd w:val="clear" w:color="auto" w:fill="FFFFFF"/>
    </w:rPr>
  </w:style>
  <w:style w:type="character" w:customStyle="1" w:styleId="Nagwek4">
    <w:name w:val="Nagłówek #4"/>
    <w:basedOn w:val="Domylnaczcionkaakapitu"/>
    <w:link w:val="Nagwek41"/>
    <w:uiPriority w:val="99"/>
    <w:locked/>
    <w:rsid w:val="00B663EA"/>
    <w:rPr>
      <w:rFonts w:ascii="Verdana" w:hAnsi="Verdana" w:cs="Verdana"/>
      <w:b/>
      <w:bCs/>
      <w:sz w:val="20"/>
      <w:szCs w:val="20"/>
      <w:shd w:val="clear" w:color="auto" w:fill="FFFFFF"/>
    </w:rPr>
  </w:style>
  <w:style w:type="paragraph" w:customStyle="1" w:styleId="Teksttreci181">
    <w:name w:val="Tekst treści (18)1"/>
    <w:basedOn w:val="Normalny"/>
    <w:link w:val="Teksttreci18"/>
    <w:uiPriority w:val="99"/>
    <w:rsid w:val="00B663EA"/>
    <w:pPr>
      <w:shd w:val="clear" w:color="auto" w:fill="FFFFFF"/>
      <w:spacing w:before="180" w:after="180" w:line="243" w:lineRule="exact"/>
      <w:ind w:hanging="580"/>
      <w:jc w:val="both"/>
    </w:pPr>
    <w:rPr>
      <w:rFonts w:ascii="Verdana" w:eastAsiaTheme="minorHAnsi" w:hAnsi="Verdana" w:cs="Verdana"/>
      <w:color w:val="auto"/>
      <w:sz w:val="20"/>
      <w:szCs w:val="20"/>
      <w:lang w:val="pl-PL"/>
    </w:rPr>
  </w:style>
  <w:style w:type="paragraph" w:customStyle="1" w:styleId="Nagwek41">
    <w:name w:val="Nagłówek #41"/>
    <w:basedOn w:val="Normalny"/>
    <w:link w:val="Nagwek4"/>
    <w:uiPriority w:val="99"/>
    <w:rsid w:val="00B663EA"/>
    <w:pPr>
      <w:shd w:val="clear" w:color="auto" w:fill="FFFFFF"/>
      <w:spacing w:before="480" w:after="60" w:line="240" w:lineRule="atLeast"/>
      <w:outlineLvl w:val="3"/>
    </w:pPr>
    <w:rPr>
      <w:rFonts w:ascii="Verdana" w:eastAsiaTheme="minorHAnsi" w:hAnsi="Verdana" w:cs="Verdana"/>
      <w:b/>
      <w:bCs/>
      <w:color w:val="auto"/>
      <w:sz w:val="20"/>
      <w:szCs w:val="20"/>
      <w:lang w:val="pl-PL"/>
    </w:rPr>
  </w:style>
  <w:style w:type="character" w:customStyle="1" w:styleId="Teksttreci17">
    <w:name w:val="Tekst treści (17)"/>
    <w:basedOn w:val="Domylnaczcionkaakapitu"/>
    <w:link w:val="Teksttreci171"/>
    <w:uiPriority w:val="99"/>
    <w:locked/>
    <w:rsid w:val="00B663EA"/>
    <w:rPr>
      <w:rFonts w:ascii="Verdana" w:hAnsi="Verdana" w:cs="Verdana"/>
      <w:b/>
      <w:bCs/>
      <w:sz w:val="20"/>
      <w:szCs w:val="20"/>
      <w:shd w:val="clear" w:color="auto" w:fill="FFFFFF"/>
    </w:rPr>
  </w:style>
  <w:style w:type="paragraph" w:customStyle="1" w:styleId="Teksttreci171">
    <w:name w:val="Tekst treści (17)1"/>
    <w:basedOn w:val="Normalny"/>
    <w:link w:val="Teksttreci17"/>
    <w:uiPriority w:val="99"/>
    <w:rsid w:val="00B663EA"/>
    <w:pPr>
      <w:shd w:val="clear" w:color="auto" w:fill="FFFFFF"/>
      <w:spacing w:line="243" w:lineRule="exact"/>
      <w:jc w:val="both"/>
    </w:pPr>
    <w:rPr>
      <w:rFonts w:ascii="Verdana" w:eastAsiaTheme="minorHAnsi" w:hAnsi="Verdana" w:cs="Verdana"/>
      <w:b/>
      <w:bCs/>
      <w:color w:val="auto"/>
      <w:sz w:val="20"/>
      <w:szCs w:val="20"/>
      <w:lang w:val="pl-PL"/>
    </w:rPr>
  </w:style>
  <w:style w:type="paragraph" w:styleId="Akapitzlist">
    <w:name w:val="List Paragraph"/>
    <w:basedOn w:val="Normalny"/>
    <w:uiPriority w:val="34"/>
    <w:qFormat/>
    <w:rsid w:val="004D0F57"/>
    <w:pPr>
      <w:ind w:left="720"/>
      <w:contextualSpacing/>
    </w:pPr>
  </w:style>
  <w:style w:type="character" w:styleId="Hipercze">
    <w:name w:val="Hyperlink"/>
    <w:basedOn w:val="Domylnaczcionkaakapitu"/>
    <w:uiPriority w:val="99"/>
    <w:unhideWhenUsed/>
    <w:rsid w:val="002523A4"/>
    <w:rPr>
      <w:rFonts w:cs="Times New Roman"/>
      <w:color w:val="0000FF" w:themeColor="hyperlink"/>
      <w:u w:val="single"/>
    </w:rPr>
  </w:style>
  <w:style w:type="paragraph" w:styleId="Bezodstpw">
    <w:name w:val="No Spacing"/>
    <w:uiPriority w:val="1"/>
    <w:qFormat/>
    <w:rsid w:val="002523A4"/>
    <w:pPr>
      <w:spacing w:after="0" w:line="240" w:lineRule="auto"/>
    </w:pPr>
    <w:rPr>
      <w:rFonts w:ascii="Microsoft Sans Serif" w:eastAsia="Times New Roman" w:hAnsi="Microsoft Sans Serif" w:cs="Microsoft Sans Serif"/>
      <w:color w:val="000000"/>
      <w:sz w:val="24"/>
      <w:szCs w:val="24"/>
      <w:lang w:val="en-US"/>
    </w:rPr>
  </w:style>
  <w:style w:type="character" w:styleId="Pogrubienie">
    <w:name w:val="Strong"/>
    <w:basedOn w:val="Domylnaczcionkaakapitu"/>
    <w:qFormat/>
    <w:rsid w:val="002523A4"/>
    <w:rPr>
      <w:b/>
      <w:bCs/>
    </w:rPr>
  </w:style>
  <w:style w:type="paragraph" w:styleId="Listanumerowana">
    <w:name w:val="List Number"/>
    <w:basedOn w:val="Normalny"/>
    <w:rsid w:val="002523A4"/>
    <w:pPr>
      <w:numPr>
        <w:numId w:val="18"/>
      </w:numPr>
      <w:spacing w:after="240"/>
      <w:jc w:val="both"/>
    </w:pPr>
    <w:rPr>
      <w:rFonts w:ascii="Times New Roman" w:hAnsi="Times New Roman" w:cs="Times New Roman"/>
      <w:color w:val="auto"/>
      <w:szCs w:val="20"/>
      <w:lang w:val="en-GB"/>
    </w:rPr>
  </w:style>
  <w:style w:type="paragraph" w:customStyle="1" w:styleId="ListNumberLevel2">
    <w:name w:val="List Number (Level 2)"/>
    <w:basedOn w:val="Normalny"/>
    <w:rsid w:val="002523A4"/>
    <w:pPr>
      <w:numPr>
        <w:ilvl w:val="1"/>
        <w:numId w:val="18"/>
      </w:numPr>
      <w:spacing w:after="240"/>
      <w:jc w:val="both"/>
    </w:pPr>
    <w:rPr>
      <w:rFonts w:ascii="Times New Roman" w:hAnsi="Times New Roman" w:cs="Times New Roman"/>
      <w:color w:val="auto"/>
      <w:szCs w:val="20"/>
      <w:lang w:val="en-GB"/>
    </w:rPr>
  </w:style>
  <w:style w:type="paragraph" w:customStyle="1" w:styleId="ListNumberLevel3">
    <w:name w:val="List Number (Level 3)"/>
    <w:basedOn w:val="Normalny"/>
    <w:rsid w:val="002523A4"/>
    <w:pPr>
      <w:numPr>
        <w:ilvl w:val="2"/>
        <w:numId w:val="18"/>
      </w:numPr>
      <w:spacing w:after="240"/>
      <w:jc w:val="both"/>
    </w:pPr>
    <w:rPr>
      <w:rFonts w:ascii="Times New Roman" w:hAnsi="Times New Roman" w:cs="Times New Roman"/>
      <w:color w:val="auto"/>
      <w:szCs w:val="20"/>
      <w:lang w:val="en-GB"/>
    </w:rPr>
  </w:style>
  <w:style w:type="paragraph" w:customStyle="1" w:styleId="ListNumberLevel4">
    <w:name w:val="List Number (Level 4)"/>
    <w:basedOn w:val="Normalny"/>
    <w:rsid w:val="002523A4"/>
    <w:pPr>
      <w:numPr>
        <w:ilvl w:val="3"/>
        <w:numId w:val="18"/>
      </w:numPr>
      <w:spacing w:after="240"/>
      <w:jc w:val="both"/>
    </w:pPr>
    <w:rPr>
      <w:rFonts w:ascii="Times New Roman" w:hAnsi="Times New Roman" w:cs="Times New Roman"/>
      <w:color w:val="auto"/>
      <w:szCs w:val="20"/>
      <w:lang w:val="en-GB"/>
    </w:rPr>
  </w:style>
  <w:style w:type="paragraph" w:styleId="Nagwek">
    <w:name w:val="header"/>
    <w:basedOn w:val="Normalny"/>
    <w:link w:val="NagwekZnak"/>
    <w:uiPriority w:val="99"/>
    <w:unhideWhenUsed/>
    <w:rsid w:val="009155BB"/>
    <w:pPr>
      <w:tabs>
        <w:tab w:val="center" w:pos="4536"/>
        <w:tab w:val="right" w:pos="9072"/>
      </w:tabs>
    </w:pPr>
  </w:style>
  <w:style w:type="character" w:customStyle="1" w:styleId="NagwekZnak">
    <w:name w:val="Nagłówek Znak"/>
    <w:basedOn w:val="Domylnaczcionkaakapitu"/>
    <w:link w:val="Nagwek"/>
    <w:uiPriority w:val="99"/>
    <w:rsid w:val="009155BB"/>
    <w:rPr>
      <w:rFonts w:ascii="Microsoft Sans Serif" w:eastAsia="Times New Roman" w:hAnsi="Microsoft Sans Serif" w:cs="Microsoft Sans Serif"/>
      <w:color w:val="000000"/>
      <w:sz w:val="24"/>
      <w:szCs w:val="24"/>
      <w:lang w:val="en-US"/>
    </w:rPr>
  </w:style>
  <w:style w:type="paragraph" w:styleId="Stopka">
    <w:name w:val="footer"/>
    <w:basedOn w:val="Normalny"/>
    <w:link w:val="StopkaZnak"/>
    <w:uiPriority w:val="99"/>
    <w:unhideWhenUsed/>
    <w:rsid w:val="009155BB"/>
    <w:pPr>
      <w:tabs>
        <w:tab w:val="center" w:pos="4536"/>
        <w:tab w:val="right" w:pos="9072"/>
      </w:tabs>
    </w:pPr>
  </w:style>
  <w:style w:type="character" w:customStyle="1" w:styleId="StopkaZnak">
    <w:name w:val="Stopka Znak"/>
    <w:basedOn w:val="Domylnaczcionkaakapitu"/>
    <w:link w:val="Stopka"/>
    <w:uiPriority w:val="99"/>
    <w:rsid w:val="009155BB"/>
    <w:rPr>
      <w:rFonts w:ascii="Microsoft Sans Serif" w:eastAsia="Times New Roman" w:hAnsi="Microsoft Sans Serif" w:cs="Microsoft Sans Serif"/>
      <w:color w:val="000000"/>
      <w:sz w:val="24"/>
      <w:szCs w:val="24"/>
      <w:lang w:val="en-US"/>
    </w:rPr>
  </w:style>
  <w:style w:type="paragraph" w:styleId="Tekstdymka">
    <w:name w:val="Balloon Text"/>
    <w:basedOn w:val="Normalny"/>
    <w:link w:val="TekstdymkaZnak"/>
    <w:uiPriority w:val="99"/>
    <w:semiHidden/>
    <w:unhideWhenUsed/>
    <w:rsid w:val="009155BB"/>
    <w:rPr>
      <w:rFonts w:ascii="Tahoma" w:hAnsi="Tahoma" w:cs="Tahoma"/>
      <w:sz w:val="16"/>
      <w:szCs w:val="16"/>
    </w:rPr>
  </w:style>
  <w:style w:type="character" w:customStyle="1" w:styleId="TekstdymkaZnak">
    <w:name w:val="Tekst dymka Znak"/>
    <w:basedOn w:val="Domylnaczcionkaakapitu"/>
    <w:link w:val="Tekstdymka"/>
    <w:uiPriority w:val="99"/>
    <w:semiHidden/>
    <w:rsid w:val="009155BB"/>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jrc.ec.europa.eu/pages/EAP/ForCiel.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6638-4692-4FAC-A857-31AFCB73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4863</Words>
  <Characters>29181</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ktulkis</dc:creator>
  <cp:lastModifiedBy>ktulkis</cp:lastModifiedBy>
  <cp:revision>3</cp:revision>
  <dcterms:created xsi:type="dcterms:W3CDTF">2014-04-14T07:54:00Z</dcterms:created>
  <dcterms:modified xsi:type="dcterms:W3CDTF">2014-04-14T08:00:00Z</dcterms:modified>
</cp:coreProperties>
</file>