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Default="00BA392D" w:rsidP="00BA392D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 w:rsidR="00AF498F">
        <w:t xml:space="preserve"> w </w:t>
      </w:r>
      <w:r w:rsidR="00CB134B">
        <w:rPr>
          <w:b/>
        </w:rPr>
        <w:t>Warszawie.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</w:t>
      </w:r>
      <w:r w:rsidR="00A1284D">
        <w:rPr>
          <w:b/>
        </w:rPr>
        <w:t xml:space="preserve">realizowana </w:t>
      </w:r>
      <w:r>
        <w:rPr>
          <w:b/>
        </w:rPr>
        <w:t xml:space="preserve">w okresie </w:t>
      </w:r>
      <w:r w:rsidR="00A1284D">
        <w:rPr>
          <w:b/>
        </w:rPr>
        <w:br/>
        <w:t xml:space="preserve">od </w:t>
      </w:r>
      <w:r w:rsidR="003428FF">
        <w:rPr>
          <w:b/>
        </w:rPr>
        <w:t>2</w:t>
      </w:r>
      <w:r>
        <w:rPr>
          <w:b/>
        </w:rPr>
        <w:t xml:space="preserve"> </w:t>
      </w:r>
      <w:r w:rsidR="00CB134B">
        <w:rPr>
          <w:b/>
        </w:rPr>
        <w:t>stycznia</w:t>
      </w:r>
      <w:r>
        <w:rPr>
          <w:b/>
        </w:rPr>
        <w:t xml:space="preserve"> </w:t>
      </w:r>
      <w:r w:rsidR="00557E3C">
        <w:rPr>
          <w:b/>
        </w:rPr>
        <w:t xml:space="preserve">2015 </w:t>
      </w:r>
      <w:r w:rsidR="00B13A6B">
        <w:rPr>
          <w:b/>
        </w:rPr>
        <w:t xml:space="preserve">– </w:t>
      </w:r>
      <w:r w:rsidR="00CB134B">
        <w:rPr>
          <w:b/>
        </w:rPr>
        <w:t>31 grudnia</w:t>
      </w:r>
      <w:r w:rsidR="00B13A6B">
        <w:rPr>
          <w:b/>
        </w:rPr>
        <w:t xml:space="preserve"> </w:t>
      </w:r>
      <w:r w:rsidR="00557E3C" w:rsidRPr="00AF40AC">
        <w:rPr>
          <w:b/>
        </w:rPr>
        <w:t>201</w:t>
      </w:r>
      <w:r w:rsidR="00557E3C">
        <w:rPr>
          <w:b/>
        </w:rPr>
        <w:t>6</w:t>
      </w:r>
      <w:r w:rsidR="00557E3C" w:rsidRPr="00AF40AC">
        <w:rPr>
          <w:b/>
        </w:rPr>
        <w:t xml:space="preserve"> </w:t>
      </w:r>
      <w:r w:rsidRPr="00AF40AC">
        <w:rPr>
          <w:b/>
        </w:rPr>
        <w:t>r.</w:t>
      </w:r>
      <w:r>
        <w:rPr>
          <w:b/>
        </w:rPr>
        <w:t xml:space="preserve"> świadczona na terenie jednego, tego samego obiektu hotelarsko-gastronomicznego.</w:t>
      </w:r>
    </w:p>
    <w:p w:rsidR="00AF498F" w:rsidRPr="00AF498F" w:rsidRDefault="00AF498F" w:rsidP="00BA392D">
      <w:pPr>
        <w:jc w:val="both"/>
      </w:pPr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>Liczba uczestników</w:t>
      </w:r>
      <w:r w:rsidRPr="00B7767F">
        <w:t xml:space="preserve"> szkolenia, warsztatów oraz konferencji może wynieść od </w:t>
      </w:r>
      <w:r w:rsidR="00CB134B">
        <w:t>5</w:t>
      </w:r>
      <w:r w:rsidRPr="00B7767F">
        <w:t xml:space="preserve"> do </w:t>
      </w:r>
      <w:r w:rsidR="00CB134B">
        <w:t>50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 xml:space="preserve">Standard </w:t>
      </w:r>
      <w:r w:rsidR="00AF498F" w:rsidRPr="00FC26E0">
        <w:rPr>
          <w:b/>
        </w:rPr>
        <w:t>ośrodka</w:t>
      </w:r>
      <w:r w:rsidRPr="00B7767F">
        <w:t xml:space="preserve">: </w:t>
      </w:r>
      <w:r w:rsidR="00557E3C">
        <w:t>Ośrodek,</w:t>
      </w:r>
      <w:r w:rsidR="00D54349">
        <w:t xml:space="preserve">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  <w:r w:rsidR="000D0294" w:rsidRPr="000D0294">
        <w:t xml:space="preserve">Obiekt musi być przystosowany do korzystania </w:t>
      </w:r>
      <w:r w:rsidR="001D4ABC">
        <w:t>przez osoby niepełnosprawne oraz mieć m</w:t>
      </w:r>
      <w:r w:rsidR="000D0294" w:rsidRPr="000D0294">
        <w:t xml:space="preserve">ożliwość obsługi w tym samym czasie </w:t>
      </w:r>
      <w:r w:rsidR="000D0294" w:rsidRPr="001D4ABC">
        <w:rPr>
          <w:b/>
        </w:rPr>
        <w:t>dwóch grup uczestników</w:t>
      </w:r>
      <w:r w:rsidR="001D4ABC">
        <w:rPr>
          <w:b/>
        </w:rPr>
        <w:t xml:space="preserve">, </w:t>
      </w:r>
      <w:r w:rsidR="001D4ABC" w:rsidRPr="001D4ABC">
        <w:t>korzystających z pełnej usługi (zakwaterowanie, wyżywienie, sala konferencyjna).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Lokalizacja:</w:t>
      </w:r>
      <w:r w:rsidR="00CB134B" w:rsidRPr="00FC26E0">
        <w:rPr>
          <w:b/>
        </w:rPr>
        <w:t xml:space="preserve"> </w:t>
      </w:r>
      <w:r w:rsidR="00CB134B" w:rsidRPr="00FC26E0">
        <w:rPr>
          <w:color w:val="000000"/>
        </w:rPr>
        <w:t xml:space="preserve">Ośrodek położony w centrum Warszawy (ośrodek położony w odległości </w:t>
      </w:r>
      <w:r w:rsidR="00235066">
        <w:rPr>
          <w:color w:val="000000"/>
        </w:rPr>
        <w:t>maksymalnie</w:t>
      </w:r>
      <w:r w:rsidR="00CB134B" w:rsidRPr="00FC26E0">
        <w:rPr>
          <w:color w:val="000000"/>
        </w:rPr>
        <w:t xml:space="preserve"> 2 km od siedziby Zamawiającego</w:t>
      </w:r>
      <w:r w:rsidR="00425ADA">
        <w:rPr>
          <w:color w:val="000000"/>
        </w:rPr>
        <w:t xml:space="preserve"> </w:t>
      </w:r>
      <w:r w:rsidR="00CB134B" w:rsidRPr="00FC26E0">
        <w:rPr>
          <w:color w:val="000000"/>
        </w:rPr>
        <w:t>- ul. Mokotowska 43, Warszawa).</w:t>
      </w:r>
      <w:r w:rsidR="00CB134B" w:rsidRPr="00FC26E0">
        <w:rPr>
          <w:b/>
        </w:rPr>
        <w:t xml:space="preserve"> </w:t>
      </w:r>
      <w:r w:rsidRPr="00FC26E0">
        <w:rPr>
          <w:b/>
        </w:rPr>
        <w:t xml:space="preserve"> </w:t>
      </w:r>
    </w:p>
    <w:p w:rsidR="00BA392D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Otoczenie hotelu:</w:t>
      </w:r>
      <w:r>
        <w:t xml:space="preserve"> </w:t>
      </w:r>
      <w:r w:rsidR="000D0294" w:rsidRPr="00FC26E0">
        <w:rPr>
          <w:color w:val="000000"/>
        </w:rPr>
        <w:t>W okolicy obiektu (</w:t>
      </w:r>
      <w:r w:rsidR="000D0294" w:rsidRPr="00022796">
        <w:t>odległość maks. do 1 km</w:t>
      </w:r>
      <w:r w:rsidR="000D0294">
        <w:t>)</w:t>
      </w:r>
      <w:r w:rsidR="00BA392D" w:rsidRPr="00FC26E0">
        <w:rPr>
          <w:color w:val="000000"/>
        </w:rPr>
        <w:t xml:space="preserve"> musi znajdować się czynny  i konserwowany teren zielony w postaci zadrzewienia liściastego i iglastego o wysokości powyżej 2 m, zajmujący powierzchnię co najmniej 2 ha, taki jak park spacerowo-wypoczynkowy  z ławkami i alejami spacerowymi pełniący funkcje rekreacyjne i zapewniający aktywny wypoczynek uczestnikom </w:t>
      </w:r>
      <w:r w:rsidR="00235066">
        <w:rPr>
          <w:color w:val="000000"/>
        </w:rPr>
        <w:t>szkoleń</w:t>
      </w:r>
      <w:r w:rsidR="00BA392D" w:rsidRPr="00FC26E0">
        <w:rPr>
          <w:color w:val="000000"/>
        </w:rPr>
        <w:t>.  Zamawiający nie dopuszcza rozwiązań o charakterze estetycznym lub osłonowym, złożonych z zieleni niskiej tj. o wysokości poniżej 2</w:t>
      </w:r>
      <w:r w:rsidR="00557E3C">
        <w:rPr>
          <w:color w:val="000000"/>
        </w:rPr>
        <w:t xml:space="preserve"> </w:t>
      </w:r>
      <w:r w:rsidR="00BA392D" w:rsidRPr="00FC26E0">
        <w:rPr>
          <w:color w:val="000000"/>
        </w:rPr>
        <w:t>m. (trawniki, krzewy, kwietniki itp.).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 xml:space="preserve">Warunki szczególne: </w:t>
      </w:r>
    </w:p>
    <w:p w:rsidR="005524E4" w:rsidRDefault="003E0408" w:rsidP="00BA392D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Ośrodek</w:t>
      </w:r>
      <w:r w:rsidR="005524E4" w:rsidRPr="001229D7">
        <w:rPr>
          <w:color w:val="000000"/>
        </w:rPr>
        <w:t xml:space="preserve"> powinien </w:t>
      </w:r>
      <w:r w:rsidR="008C2CB0">
        <w:rPr>
          <w:color w:val="000000"/>
        </w:rPr>
        <w:t>posiadać dostęp do Internetu.</w:t>
      </w:r>
    </w:p>
    <w:p w:rsidR="008C2CB0" w:rsidRPr="001229D7" w:rsidRDefault="008C2CB0" w:rsidP="00BA392D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Ośrodek powinien zapewnić pomieszczenie w którym Zamawiający będzie mógł przechować bezpiecznie materiały szkoleniowy i sprzęt szkoleniowy.</w:t>
      </w:r>
    </w:p>
    <w:p w:rsidR="00A000A9" w:rsidRPr="003E0408" w:rsidRDefault="001D4ABC" w:rsidP="00BA392D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 xml:space="preserve">Ośrodek </w:t>
      </w:r>
      <w:r w:rsidRPr="00C167DD">
        <w:rPr>
          <w:color w:val="000000"/>
        </w:rPr>
        <w:t>zapewni m</w:t>
      </w:r>
      <w:r w:rsidR="00A000A9" w:rsidRPr="00C167DD">
        <w:rPr>
          <w:color w:val="000000"/>
        </w:rPr>
        <w:t>ożliwość korzystania z pokoi</w:t>
      </w:r>
      <w:r w:rsidR="00A000A9" w:rsidRPr="00A000A9">
        <w:rPr>
          <w:color w:val="000000"/>
        </w:rPr>
        <w:t xml:space="preserve"> przez osoby indywidualne, bez grup szkole</w:t>
      </w:r>
      <w:r w:rsidR="00A000A9" w:rsidRPr="001229D7">
        <w:rPr>
          <w:color w:val="000000"/>
        </w:rPr>
        <w:t>n</w:t>
      </w:r>
      <w:r w:rsidR="00A000A9" w:rsidRPr="00A000A9">
        <w:rPr>
          <w:color w:val="000000"/>
        </w:rPr>
        <w:t>iowych zgodnie z bieżącym zapotrzebowaniem Zamawiającego</w:t>
      </w:r>
    </w:p>
    <w:p w:rsidR="00BA392D" w:rsidRPr="0018241D" w:rsidRDefault="00BA392D" w:rsidP="00BA392D">
      <w:pPr>
        <w:spacing w:line="360" w:lineRule="auto"/>
        <w:jc w:val="both"/>
      </w:pPr>
      <w:r w:rsidRPr="0018241D">
        <w:rPr>
          <w:color w:val="000000"/>
        </w:rPr>
        <w:t>Dodatkową zaletą Wykonawcy będzie posiadanie strony internetowej obiektu (w języku polskim i angielskim) z galerią zdjęć, opisem standardu i wyposażenia pokoi i sal konferencyjnych oraz mapą dojazdu</w:t>
      </w:r>
      <w:r>
        <w:rPr>
          <w:color w:val="000000"/>
        </w:rPr>
        <w:t>.</w:t>
      </w: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lastRenderedPageBreak/>
        <w:t>II. ZAKWATEROWANIE</w:t>
      </w:r>
    </w:p>
    <w:p w:rsidR="00CB720B" w:rsidRDefault="00BA392D" w:rsidP="00FC26E0">
      <w:pPr>
        <w:spacing w:line="360" w:lineRule="auto"/>
        <w:jc w:val="both"/>
      </w:pPr>
      <w:r w:rsidRPr="00FC26E0">
        <w:rPr>
          <w:b/>
        </w:rPr>
        <w:t xml:space="preserve">Zakwaterowanie i wymeldowanie z hotelu uczestników szkolenia </w:t>
      </w:r>
      <w:r w:rsidRPr="00B7767F">
        <w:t xml:space="preserve">– zgodnie </w:t>
      </w:r>
      <w:r>
        <w:br/>
      </w:r>
      <w:r w:rsidRPr="00B7767F">
        <w:t xml:space="preserve">z obowiązującą dla hotelu 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</w:t>
      </w:r>
      <w:r w:rsidR="003E0408">
        <w:t>t jedynie minimalnymi warunkami.</w:t>
      </w:r>
      <w:r w:rsidRPr="00B7767F">
        <w:t xml:space="preserve"> Zamawiający w porozumieniu z Wykonawcą może zmienić godziny doby hotelowej. W przypadku </w:t>
      </w:r>
      <w:r w:rsidR="005524E4"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Default="00FC26E0" w:rsidP="00FC26E0">
      <w:pPr>
        <w:spacing w:line="360" w:lineRule="auto"/>
        <w:jc w:val="both"/>
      </w:pPr>
      <w:r w:rsidRPr="00FC26E0">
        <w:rPr>
          <w:b/>
        </w:rPr>
        <w:t>Specyfikacja zakwaterowania</w:t>
      </w:r>
      <w:r w:rsidR="00235066">
        <w:rPr>
          <w:b/>
        </w:rPr>
        <w:t>:</w:t>
      </w:r>
      <w:r>
        <w:t xml:space="preserve"> 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>30 miejscami noclegowymi w pokojach 5 osobowych o standardzie schroniskowym bez łazienki (łazienka wspólna np. na korytarzu);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miejscami noclegowymi w pokojach 1 i 2 osobowych z łazienką. </w:t>
      </w:r>
    </w:p>
    <w:p w:rsidR="00560A2F" w:rsidRDefault="00560A2F" w:rsidP="00FC26E0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jednoosobowego lub dwuosobowego dla osób prowadzących szkolenia</w:t>
      </w:r>
      <w:r w:rsidR="008E2A2A">
        <w:t>.</w:t>
      </w:r>
    </w:p>
    <w:p w:rsidR="00560A2F" w:rsidRDefault="00560A2F" w:rsidP="008E2A2A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dwuosobowego dla uczestników</w:t>
      </w:r>
      <w:r w:rsidR="00F717F8">
        <w:t>.</w:t>
      </w:r>
      <w:r w:rsidRPr="00560A2F">
        <w:t xml:space="preserve"> </w:t>
      </w:r>
    </w:p>
    <w:p w:rsidR="008E2A2A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560A2F">
        <w:t>Zamawiający może wymagać a Wykonawca zapewni pokoje dwuosobowe do pojedynczego wykorzystania</w:t>
      </w:r>
      <w:r>
        <w:t xml:space="preserve"> </w:t>
      </w:r>
    </w:p>
    <w:p w:rsidR="00560A2F" w:rsidRDefault="008E2A2A" w:rsidP="00560A2F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 miejsc noclegowych korzystać będą zarówno grupy szkoleniowe, jak i osoby indywidualne.</w:t>
      </w:r>
    </w:p>
    <w:p w:rsidR="00560A2F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cenę każdego pokoju wliczona ma być pościel oraz ręcznik dla każdego z uczestników.</w:t>
      </w:r>
    </w:p>
    <w:p w:rsidR="008E2A2A" w:rsidRPr="008E2A2A" w:rsidRDefault="008E2A2A" w:rsidP="008E2A2A">
      <w:pPr>
        <w:pStyle w:val="Akapitzlist"/>
        <w:spacing w:after="200" w:line="276" w:lineRule="auto"/>
        <w:ind w:left="360"/>
        <w:jc w:val="both"/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3946A3" w:rsidRPr="00CC6C6F" w:rsidRDefault="00BA392D" w:rsidP="003946A3">
      <w:pPr>
        <w:spacing w:line="360" w:lineRule="auto"/>
      </w:pPr>
      <w:r w:rsidRPr="00CC6C6F">
        <w:t>Zamawiający zobowiązuje się informować o faktycznym zapotrzebowaniu na pokoje</w:t>
      </w:r>
      <w:r w:rsidR="003946A3">
        <w:t xml:space="preserve"> na </w:t>
      </w:r>
      <w:r w:rsidR="003946A3" w:rsidRPr="001A6BB7">
        <w:rPr>
          <w:b/>
        </w:rPr>
        <w:t>7 dni</w:t>
      </w:r>
      <w:r w:rsidR="003946A3">
        <w:t xml:space="preserve">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  <w:r w:rsidR="003946A3" w:rsidRPr="00CC6C6F">
        <w:t xml:space="preserve">Zamawiający zobowiązuje się informować o faktycznym zapotrzebowaniu na </w:t>
      </w:r>
      <w:r w:rsidR="003946A3">
        <w:t xml:space="preserve">wyżywienie na </w:t>
      </w:r>
      <w:r w:rsidR="003946A3" w:rsidRPr="001A6BB7">
        <w:rPr>
          <w:b/>
        </w:rPr>
        <w:t>3 dni</w:t>
      </w:r>
      <w:r w:rsidR="003946A3">
        <w:t xml:space="preserve"> </w:t>
      </w:r>
      <w:r w:rsidR="003946A3" w:rsidRPr="00CC6C6F">
        <w:t xml:space="preserve">przed planowanym terminem </w:t>
      </w:r>
      <w:r w:rsidR="003946A3">
        <w:t>seminarium.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BA392D">
      <w:pPr>
        <w:rPr>
          <w:b/>
        </w:rPr>
      </w:pPr>
    </w:p>
    <w:p w:rsidR="00BA392D" w:rsidRPr="00B7767F" w:rsidRDefault="00BA392D" w:rsidP="00BA392D">
      <w:pPr>
        <w:rPr>
          <w:b/>
        </w:rPr>
      </w:pPr>
      <w:r w:rsidRPr="00B7767F">
        <w:rPr>
          <w:b/>
        </w:rPr>
        <w:t>III. SALE KONFERENCYJNE</w:t>
      </w:r>
    </w:p>
    <w:p w:rsidR="00BA392D" w:rsidRDefault="00BA392D" w:rsidP="00BA392D">
      <w:pPr>
        <w:spacing w:line="360" w:lineRule="auto"/>
        <w:jc w:val="both"/>
      </w:pPr>
    </w:p>
    <w:p w:rsidR="009633BA" w:rsidRDefault="00560A2F" w:rsidP="00BA392D">
      <w:pPr>
        <w:spacing w:line="360" w:lineRule="auto"/>
        <w:jc w:val="both"/>
      </w:pPr>
      <w:r>
        <w:t>Ośrodek</w:t>
      </w:r>
      <w:r w:rsidR="00BA392D" w:rsidRPr="00B7767F">
        <w:t xml:space="preserve"> powinien dysponować</w:t>
      </w:r>
      <w:r w:rsidR="00BA392D">
        <w:t xml:space="preserve"> </w:t>
      </w:r>
      <w:r w:rsidR="009633BA">
        <w:t>przynajmniej 3 salami konferencyjnymi: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  <w:rPr>
          <w:b/>
        </w:rPr>
      </w:pPr>
      <w:r>
        <w:lastRenderedPageBreak/>
        <w:t>salą</w:t>
      </w:r>
      <w:r w:rsidRPr="009633BA">
        <w:t xml:space="preserve"> mogącą pomieścić do </w:t>
      </w:r>
      <w:r w:rsidRPr="009633BA">
        <w:rPr>
          <w:b/>
        </w:rPr>
        <w:t>40 osób</w:t>
      </w:r>
      <w:r w:rsidRPr="009633BA">
        <w:t xml:space="preserve"> - sala wykorzystywana będzie przez cały okres poszczególnych szkoleń;</w:t>
      </w:r>
    </w:p>
    <w:p w:rsid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 w:rsidRPr="009633BA">
        <w:rPr>
          <w:b/>
        </w:rPr>
        <w:t>20 osób</w:t>
      </w:r>
      <w:r w:rsidRPr="009633BA">
        <w:t xml:space="preserve"> - w przypadku realizacji 2 szkoleń jednocześnie lub na wcze</w:t>
      </w:r>
      <w:r>
        <w:t>śniejsze życzenie Zamawiającego;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>
        <w:rPr>
          <w:b/>
        </w:rPr>
        <w:t>10</w:t>
      </w:r>
      <w:r w:rsidRPr="009633BA">
        <w:rPr>
          <w:b/>
        </w:rPr>
        <w:t xml:space="preserve"> osób</w:t>
      </w:r>
      <w:r w:rsidRPr="009633BA">
        <w:t xml:space="preserve"> - w przypadku realizacji 2 szkoleń jednocześnie lub na wcze</w:t>
      </w:r>
      <w:r>
        <w:t>śniejsze życzenie Zamawiającego.</w:t>
      </w:r>
    </w:p>
    <w:p w:rsidR="00CB720B" w:rsidRPr="009633BA" w:rsidRDefault="00CB720B" w:rsidP="009633BA">
      <w:pPr>
        <w:spacing w:line="360" w:lineRule="auto"/>
        <w:jc w:val="both"/>
        <w:rPr>
          <w:b/>
        </w:rPr>
      </w:pPr>
      <w:r w:rsidRPr="009633BA">
        <w:rPr>
          <w:b/>
        </w:rPr>
        <w:t>Wyposażenie sal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9633BA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</w:t>
      </w:r>
      <w:proofErr w:type="spellStart"/>
      <w:r w:rsidRPr="00DF31EB">
        <w:t>flipchart</w:t>
      </w:r>
      <w:proofErr w:type="spellEnd"/>
      <w:r w:rsidRPr="00DF31EB">
        <w:t xml:space="preserve">, blok do </w:t>
      </w:r>
      <w:proofErr w:type="spellStart"/>
      <w:r w:rsidRPr="00DF31EB">
        <w:t>flipcharta</w:t>
      </w:r>
      <w:proofErr w:type="spellEnd"/>
      <w:r w:rsidRPr="00DF31EB">
        <w:t xml:space="preserve">, mazaki do pisania w 3 kolorach, bezpłatny dostęp do Internetu </w:t>
      </w:r>
      <w:proofErr w:type="spellStart"/>
      <w:r w:rsidR="00D47E38">
        <w:t>wi</w:t>
      </w:r>
      <w:proofErr w:type="spellEnd"/>
      <w:r w:rsidR="00D47E38">
        <w:t xml:space="preserve"> fi</w:t>
      </w:r>
      <w:r w:rsidR="00F717F8">
        <w:t xml:space="preserve"> </w:t>
      </w:r>
      <w:r w:rsidRPr="00DF31EB">
        <w:t xml:space="preserve">(dla min. 20 osób w tym samym czasie), dostęp do gniazd 220V – dla min. 20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Pr="008D4746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sprawnie i zgodnie z umową oraz obsługę sprzątającą. </w:t>
      </w:r>
    </w:p>
    <w:p w:rsidR="00BA392D" w:rsidRPr="00B7767F" w:rsidRDefault="00BA392D" w:rsidP="0070766A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lastRenderedPageBreak/>
        <w:t>IV WYŻYWIENIE</w:t>
      </w:r>
    </w:p>
    <w:p w:rsidR="0070766A" w:rsidRDefault="00BA392D" w:rsidP="008A6A55">
      <w:pPr>
        <w:spacing w:before="120" w:line="360" w:lineRule="auto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0C2ABB" w:rsidRDefault="00BA392D" w:rsidP="008A6A55">
      <w:pPr>
        <w:spacing w:before="120" w:line="360" w:lineRule="auto"/>
        <w:jc w:val="both"/>
      </w:pPr>
      <w:r w:rsidRPr="00B7767F">
        <w:t xml:space="preserve">Ostateczne wymogi dotyczące ilości posiłków i ich składu zostaną podane na </w:t>
      </w:r>
      <w:r w:rsidR="001A6BB7" w:rsidRPr="001A6BB7">
        <w:rPr>
          <w:b/>
        </w:rPr>
        <w:t xml:space="preserve">3 </w:t>
      </w:r>
      <w:r w:rsidRPr="001A6BB7">
        <w:rPr>
          <w:b/>
        </w:rPr>
        <w:t>dni</w:t>
      </w:r>
      <w:r w:rsidRPr="00B7767F"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C5220A" w:rsidRPr="004F2117" w:rsidRDefault="000C2ABB" w:rsidP="008A6A55">
      <w:pPr>
        <w:spacing w:before="120" w:line="360" w:lineRule="auto"/>
        <w:jc w:val="both"/>
      </w:pPr>
      <w:r>
        <w:t>W</w:t>
      </w:r>
      <w:r w:rsidRPr="004F2117">
        <w:t xml:space="preserve"> </w:t>
      </w:r>
      <w:r w:rsidR="00C5220A" w:rsidRPr="004F2117">
        <w:t>trakcie każdego szkolenia możliwość przygotowania wyżywienia opartego na diecie specjalnej dla wybranych uczestników</w:t>
      </w:r>
      <w:r w:rsidR="007C33D9">
        <w:t xml:space="preserve"> (wegetariańska, wegańska, koszerna, bezglutenowa, </w:t>
      </w:r>
      <w:proofErr w:type="spellStart"/>
      <w:r w:rsidR="007C33D9">
        <w:t>halal</w:t>
      </w:r>
      <w:proofErr w:type="spellEnd"/>
      <w:r w:rsidR="007C33D9">
        <w:t xml:space="preserve">, </w:t>
      </w:r>
      <w:proofErr w:type="spellStart"/>
      <w:r w:rsidR="007C33D9">
        <w:t>bezlaktozowej</w:t>
      </w:r>
      <w:proofErr w:type="spellEnd"/>
      <w:r w:rsidR="007C33D9">
        <w:t>)</w:t>
      </w:r>
      <w:r w:rsidR="0070766A">
        <w:t>.</w:t>
      </w:r>
    </w:p>
    <w:p w:rsidR="000C2ABB" w:rsidRDefault="000C2ABB" w:rsidP="008A6A55">
      <w:pPr>
        <w:numPr>
          <w:ilvl w:val="0"/>
          <w:numId w:val="29"/>
        </w:numPr>
        <w:spacing w:before="120" w:line="360" w:lineRule="auto"/>
        <w:jc w:val="both"/>
      </w:pPr>
      <w:r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Wędliny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Pomidor, ogórek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proofErr w:type="spellStart"/>
      <w:r w:rsidRPr="00E6041D">
        <w:t>Musli</w:t>
      </w:r>
      <w:proofErr w:type="spellEnd"/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Jogurty owocowe i naturalne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Jajka w majonezie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Dżem / konfitura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Masło , pieczywo</w:t>
      </w:r>
    </w:p>
    <w:p w:rsidR="00C5220A" w:rsidRPr="00E6041D" w:rsidRDefault="00C5220A" w:rsidP="008A6A55">
      <w:pPr>
        <w:numPr>
          <w:ilvl w:val="0"/>
          <w:numId w:val="20"/>
        </w:numPr>
        <w:spacing w:line="360" w:lineRule="auto"/>
      </w:pPr>
      <w:r w:rsidRPr="00E6041D">
        <w:t>Herbata / kawa / mleko</w:t>
      </w:r>
    </w:p>
    <w:p w:rsidR="00C5220A" w:rsidRPr="00C5220A" w:rsidRDefault="00C5220A" w:rsidP="008A6A55">
      <w:pPr>
        <w:pStyle w:val="Akapitzlist"/>
        <w:spacing w:line="360" w:lineRule="auto"/>
        <w:ind w:left="1224"/>
        <w:jc w:val="both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lastRenderedPageBreak/>
        <w:t xml:space="preserve">zupa do wyboru mięsna </w:t>
      </w:r>
      <w:r>
        <w:t>i</w:t>
      </w:r>
      <w:r w:rsidRPr="004F2117">
        <w:t xml:space="preserve"> wegetariańska</w:t>
      </w:r>
      <w:r w:rsidR="007C33D9">
        <w:t>, np. rosół z makaronem, pomidorowa z ryżem, ogórkowa, barszcz ukraiński,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>
        <w:t>danie gorące do wyboru (</w:t>
      </w:r>
      <w:r w:rsidR="007C33D9">
        <w:t>mięsne i wegetariańskie), np. indyk pieczony w sosie śmietanowym, gulasz mięsny, spaghetti ze szpinakiem, zapiekane warzywa,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zestaw sałatek</w:t>
      </w:r>
      <w:r w:rsidR="001A6BB7">
        <w:t>,</w:t>
      </w:r>
      <w:r w:rsidRPr="004F2117">
        <w:t xml:space="preserve"> 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deser (do wyboru ciastko lub owoc)</w:t>
      </w:r>
      <w:r w:rsidR="001A6BB7">
        <w:t>,</w:t>
      </w:r>
    </w:p>
    <w:p w:rsidR="00C5220A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napoje  (sok lub kompot, woda mineralna, herbata)</w:t>
      </w:r>
    </w:p>
    <w:p w:rsidR="00C5220A" w:rsidRPr="00B7767F" w:rsidRDefault="00C5220A" w:rsidP="008A6A55">
      <w:pPr>
        <w:spacing w:line="360" w:lineRule="auto"/>
        <w:ind w:left="1068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>
        <w:t>Danie</w:t>
      </w:r>
      <w:r w:rsidRPr="004F2117">
        <w:t xml:space="preserve"> zimne lub gorące –mięsne </w:t>
      </w:r>
      <w:r>
        <w:t>i</w:t>
      </w:r>
      <w:r w:rsidR="007C33D9">
        <w:t xml:space="preserve"> wegetariańskie, np. zapiekane parówki z serem, zapiekany oscypek z żurawiną, naleśniki z serem i konfiturą z </w:t>
      </w:r>
      <w:r w:rsidR="001A6BB7">
        <w:t>wiśni</w:t>
      </w:r>
      <w:r w:rsidR="007C33D9">
        <w:t>,</w:t>
      </w:r>
    </w:p>
    <w:p w:rsidR="00C5220A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t xml:space="preserve">herbata – po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 każdego rodzaju napoju, dodatki herbaty (cukier brązowy i biały, śmietanka do kawy, mleko, cytryna w plasterkach),</w:t>
      </w:r>
      <w:r>
        <w:t xml:space="preserve"> sok,</w:t>
      </w:r>
      <w:r w:rsidRPr="004F2117">
        <w:t xml:space="preserve"> woda mineralna.</w:t>
      </w:r>
    </w:p>
    <w:p w:rsidR="007C33D9" w:rsidRDefault="007C33D9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>
        <w:t xml:space="preserve">Opcjonalnie Zamawiający może zamówić zamiast kolacji grilla ( w cenie </w:t>
      </w:r>
      <w:r w:rsidR="001D4ABC">
        <w:t>kolacji</w:t>
      </w:r>
      <w:r>
        <w:t>)</w:t>
      </w:r>
    </w:p>
    <w:p w:rsidR="00C5220A" w:rsidRP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1224"/>
      </w:pPr>
    </w:p>
    <w:p w:rsidR="00BA392D" w:rsidRPr="00B7767F" w:rsidRDefault="00C5220A" w:rsidP="008A6A55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360"/>
      </w:pPr>
      <w:r w:rsidRPr="004F2117">
        <w:t xml:space="preserve">świeżo </w:t>
      </w:r>
      <w:r w:rsidR="00C76C13" w:rsidRPr="004F2117">
        <w:t>parzon</w:t>
      </w:r>
      <w:r w:rsidR="00C76C13">
        <w:t>ej</w:t>
      </w:r>
      <w:r w:rsidR="00C76C13" w:rsidRPr="004F2117">
        <w:t xml:space="preserve"> kaw</w:t>
      </w:r>
      <w:r w:rsidR="00C76C13">
        <w:t>y</w:t>
      </w:r>
      <w:r w:rsidRPr="004F2117">
        <w:t>,</w:t>
      </w:r>
      <w:r w:rsidR="001A6BB7">
        <w:t xml:space="preserve"> kawa z ekspresu ciśnieniowego,</w:t>
      </w:r>
      <w:r w:rsidRPr="004F2117">
        <w:t xml:space="preserve">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proofErr w:type="spellStart"/>
      <w:r>
        <w:t>earl</w:t>
      </w:r>
      <w:proofErr w:type="spellEnd"/>
      <w:r>
        <w:t xml:space="preserve">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lastRenderedPageBreak/>
        <w:t xml:space="preserve">Organizator zastrzega, aby  zarówno posiłki jak i przerwy kawowe były serwowane </w:t>
      </w:r>
      <w:r w:rsidRPr="00B7767F">
        <w:br/>
        <w:t>w pomieszczeniu zarezerwowanym wyłącznie dla uczestników szkolenia lub w 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BA392D" w:rsidRPr="00B7767F" w:rsidRDefault="00BA392D" w:rsidP="00BA392D">
      <w:pPr>
        <w:spacing w:line="360" w:lineRule="auto"/>
        <w:jc w:val="both"/>
        <w:rPr>
          <w:u w:val="single"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BA392D" w:rsidRDefault="00BA392D" w:rsidP="008A6A55">
      <w:pPr>
        <w:spacing w:line="360" w:lineRule="auto"/>
      </w:pP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 w:rsidR="003F2693">
        <w:rPr>
          <w:b/>
        </w:rPr>
        <w:t>.</w:t>
      </w:r>
    </w:p>
    <w:p w:rsidR="00350206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7C33D9" w:rsidRDefault="00FF0018" w:rsidP="008A6A55">
      <w:pPr>
        <w:numPr>
          <w:ilvl w:val="0"/>
          <w:numId w:val="18"/>
        </w:numPr>
        <w:spacing w:line="360" w:lineRule="auto"/>
        <w:jc w:val="both"/>
      </w:pPr>
      <w:r>
        <w:t>Zaleca się aby Wykonawca dołączył do oferty: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dokładny adres i nazwę obiektu,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obiadu (w tym 1 wegetariańską),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kolacji (w tym 1 wegetariańską),</w:t>
      </w:r>
    </w:p>
    <w:p w:rsidR="00712E80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przerw kawowych.</w:t>
      </w:r>
    </w:p>
    <w:sectPr w:rsidR="00712E80" w:rsidSect="00AF4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9C" w:rsidRDefault="00C3679C" w:rsidP="00BA392D">
      <w:r>
        <w:separator/>
      </w:r>
    </w:p>
  </w:endnote>
  <w:endnote w:type="continuationSeparator" w:id="0">
    <w:p w:rsidR="00C3679C" w:rsidRDefault="00C3679C" w:rsidP="00BA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9C" w:rsidRDefault="00C3679C" w:rsidP="00BA392D">
      <w:r>
        <w:separator/>
      </w:r>
    </w:p>
  </w:footnote>
  <w:footnote w:type="continuationSeparator" w:id="0">
    <w:p w:rsidR="00C3679C" w:rsidRDefault="00C3679C" w:rsidP="00BA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BB" w:rsidRDefault="00235066" w:rsidP="00AF498F">
    <w:pPr>
      <w:pStyle w:val="Nagwek"/>
      <w:tabs>
        <w:tab w:val="clear" w:pos="9072"/>
      </w:tabs>
    </w:pPr>
    <w:r>
      <w:t xml:space="preserve">Numer </w:t>
    </w:r>
    <w:r w:rsidR="000C2ABB">
      <w:t>postępowania: ZP-52/FRSE/2014</w:t>
    </w:r>
  </w:p>
  <w:p w:rsidR="00235066" w:rsidRDefault="000C2ABB" w:rsidP="00AF498F">
    <w:pPr>
      <w:pStyle w:val="Nagwek"/>
      <w:tabs>
        <w:tab w:val="clear" w:pos="9072"/>
      </w:tabs>
    </w:pPr>
    <w:r>
      <w:tab/>
    </w:r>
    <w:r>
      <w:tab/>
    </w:r>
    <w:r>
      <w:tab/>
    </w:r>
    <w:r>
      <w:tab/>
      <w:t>Załącznik nr 1 do SIWZ</w:t>
    </w:r>
    <w:r w:rsidR="00235066"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A5E"/>
    <w:multiLevelType w:val="hybridMultilevel"/>
    <w:tmpl w:val="307C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A4716E3"/>
    <w:multiLevelType w:val="hybridMultilevel"/>
    <w:tmpl w:val="11A6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567EC"/>
    <w:multiLevelType w:val="hybridMultilevel"/>
    <w:tmpl w:val="2A9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25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2D"/>
    <w:rsid w:val="00001621"/>
    <w:rsid w:val="000C2ABB"/>
    <w:rsid w:val="000D0294"/>
    <w:rsid w:val="001229D7"/>
    <w:rsid w:val="001A6BB7"/>
    <w:rsid w:val="001C1D2C"/>
    <w:rsid w:val="001D4ABC"/>
    <w:rsid w:val="001F3910"/>
    <w:rsid w:val="001F3F9A"/>
    <w:rsid w:val="001F4D2C"/>
    <w:rsid w:val="00235066"/>
    <w:rsid w:val="0023735F"/>
    <w:rsid w:val="00286B69"/>
    <w:rsid w:val="002D3FBB"/>
    <w:rsid w:val="00302537"/>
    <w:rsid w:val="00306728"/>
    <w:rsid w:val="0033273A"/>
    <w:rsid w:val="003346FC"/>
    <w:rsid w:val="003428FF"/>
    <w:rsid w:val="003462B5"/>
    <w:rsid w:val="00350206"/>
    <w:rsid w:val="00365370"/>
    <w:rsid w:val="00385883"/>
    <w:rsid w:val="003946A3"/>
    <w:rsid w:val="003C1CBA"/>
    <w:rsid w:val="003D2B87"/>
    <w:rsid w:val="003E0408"/>
    <w:rsid w:val="003F0C93"/>
    <w:rsid w:val="003F2693"/>
    <w:rsid w:val="00424F1C"/>
    <w:rsid w:val="00425ADA"/>
    <w:rsid w:val="00465811"/>
    <w:rsid w:val="004732E0"/>
    <w:rsid w:val="00492E86"/>
    <w:rsid w:val="005524E4"/>
    <w:rsid w:val="00555C9A"/>
    <w:rsid w:val="00557E3C"/>
    <w:rsid w:val="00560A2F"/>
    <w:rsid w:val="0056666A"/>
    <w:rsid w:val="00587FDB"/>
    <w:rsid w:val="005B6A23"/>
    <w:rsid w:val="006B7660"/>
    <w:rsid w:val="006E34A1"/>
    <w:rsid w:val="0070766A"/>
    <w:rsid w:val="00712E80"/>
    <w:rsid w:val="00715167"/>
    <w:rsid w:val="007B4405"/>
    <w:rsid w:val="007C33D9"/>
    <w:rsid w:val="007D526E"/>
    <w:rsid w:val="007F3241"/>
    <w:rsid w:val="007F3D25"/>
    <w:rsid w:val="0082792F"/>
    <w:rsid w:val="0085166A"/>
    <w:rsid w:val="00857558"/>
    <w:rsid w:val="008A6A55"/>
    <w:rsid w:val="008C2CB0"/>
    <w:rsid w:val="008E2A2A"/>
    <w:rsid w:val="0090455B"/>
    <w:rsid w:val="009633BA"/>
    <w:rsid w:val="00992E55"/>
    <w:rsid w:val="009F2F5D"/>
    <w:rsid w:val="00A000A9"/>
    <w:rsid w:val="00A1284D"/>
    <w:rsid w:val="00A603CB"/>
    <w:rsid w:val="00AA63F5"/>
    <w:rsid w:val="00AF498F"/>
    <w:rsid w:val="00B13A6B"/>
    <w:rsid w:val="00B439D8"/>
    <w:rsid w:val="00BA392D"/>
    <w:rsid w:val="00BA6A43"/>
    <w:rsid w:val="00C167DD"/>
    <w:rsid w:val="00C3679C"/>
    <w:rsid w:val="00C42289"/>
    <w:rsid w:val="00C51073"/>
    <w:rsid w:val="00C5220A"/>
    <w:rsid w:val="00C76C13"/>
    <w:rsid w:val="00C8517E"/>
    <w:rsid w:val="00C93825"/>
    <w:rsid w:val="00CA7FF2"/>
    <w:rsid w:val="00CB134B"/>
    <w:rsid w:val="00CB720B"/>
    <w:rsid w:val="00D32815"/>
    <w:rsid w:val="00D47E38"/>
    <w:rsid w:val="00D54349"/>
    <w:rsid w:val="00EA35F2"/>
    <w:rsid w:val="00F000B6"/>
    <w:rsid w:val="00F11BE6"/>
    <w:rsid w:val="00F717F8"/>
    <w:rsid w:val="00F87CEF"/>
    <w:rsid w:val="00FC26E0"/>
    <w:rsid w:val="00FC4BB2"/>
    <w:rsid w:val="00FE4123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b/>
      <w:bCs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C9FB-AAD4-407E-B8D4-8C79578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kbartosiak</cp:lastModifiedBy>
  <cp:revision>43</cp:revision>
  <cp:lastPrinted>2013-08-29T10:08:00Z</cp:lastPrinted>
  <dcterms:created xsi:type="dcterms:W3CDTF">2013-08-27T13:32:00Z</dcterms:created>
  <dcterms:modified xsi:type="dcterms:W3CDTF">2014-11-12T10:31:00Z</dcterms:modified>
</cp:coreProperties>
</file>