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4E" w:rsidRPr="00B7767F" w:rsidRDefault="0049004E" w:rsidP="0049004E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49004E" w:rsidRPr="002D7FA8" w:rsidRDefault="0049004E" w:rsidP="0049004E">
      <w:pPr>
        <w:jc w:val="center"/>
        <w:rPr>
          <w:rFonts w:ascii="Arial" w:hAnsi="Arial" w:cs="Arial"/>
          <w:b/>
          <w:sz w:val="20"/>
          <w:szCs w:val="20"/>
        </w:rPr>
      </w:pPr>
    </w:p>
    <w:p w:rsidR="0049004E" w:rsidRDefault="0049004E" w:rsidP="0049004E">
      <w:pPr>
        <w:jc w:val="both"/>
        <w:rPr>
          <w:b/>
        </w:rPr>
      </w:pPr>
      <w:r w:rsidRPr="00AF498F">
        <w:t>Przedmiotem zmówienia jest świadczenie usługi hotelarsko-gastronomicznej w zakresie spotkań i konferencji na rzecz programów funkcjonujących w ramach Fundacji Rozwoju Systemu Edukacji</w:t>
      </w:r>
      <w:r>
        <w:t xml:space="preserve"> w </w:t>
      </w:r>
      <w:r>
        <w:rPr>
          <w:b/>
        </w:rPr>
        <w:t>Toruniu.</w:t>
      </w:r>
    </w:p>
    <w:p w:rsidR="0049004E" w:rsidRDefault="0049004E" w:rsidP="0049004E">
      <w:pPr>
        <w:jc w:val="both"/>
        <w:rPr>
          <w:b/>
        </w:rPr>
      </w:pPr>
    </w:p>
    <w:p w:rsidR="0049004E" w:rsidRDefault="0049004E" w:rsidP="0049004E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 xml:space="preserve">rsko-gastronomiczna oraz konferencyjna w okresie </w:t>
      </w:r>
      <w:r w:rsidRPr="002A0039">
        <w:rPr>
          <w:b/>
        </w:rPr>
        <w:t>1 stycznia 201</w:t>
      </w:r>
      <w:r w:rsidR="00D23FA3" w:rsidRPr="002A0039">
        <w:rPr>
          <w:b/>
        </w:rPr>
        <w:t>5</w:t>
      </w:r>
      <w:r w:rsidRPr="002A0039">
        <w:rPr>
          <w:b/>
        </w:rPr>
        <w:t xml:space="preserve"> – </w:t>
      </w:r>
      <w:r w:rsidR="00D23FA3" w:rsidRPr="002A0039">
        <w:rPr>
          <w:b/>
        </w:rPr>
        <w:t>31</w:t>
      </w:r>
      <w:r w:rsidRPr="002A0039">
        <w:rPr>
          <w:b/>
        </w:rPr>
        <w:t xml:space="preserve"> grudnia 201</w:t>
      </w:r>
      <w:r w:rsidR="00D23FA3" w:rsidRPr="002A0039">
        <w:rPr>
          <w:b/>
        </w:rPr>
        <w:t>6</w:t>
      </w:r>
      <w:r w:rsidRPr="002A0039">
        <w:rPr>
          <w:b/>
        </w:rPr>
        <w:t xml:space="preserve"> r. świadczona na terenie jednego, tego samego</w:t>
      </w:r>
      <w:r>
        <w:rPr>
          <w:b/>
        </w:rPr>
        <w:t xml:space="preserve"> obiektu hotelarsko-gastronomicznego.</w:t>
      </w:r>
    </w:p>
    <w:p w:rsidR="0049004E" w:rsidRDefault="0049004E" w:rsidP="0049004E">
      <w:pPr>
        <w:jc w:val="both"/>
        <w:rPr>
          <w:b/>
        </w:rPr>
      </w:pPr>
    </w:p>
    <w:p w:rsidR="0049004E" w:rsidRDefault="0049004E" w:rsidP="0049004E">
      <w:pPr>
        <w:jc w:val="both"/>
        <w:rPr>
          <w:b/>
        </w:rPr>
      </w:pPr>
      <w:r>
        <w:rPr>
          <w:b/>
        </w:rPr>
        <w:t>Planowane terminy realizacji szkoleń:</w:t>
      </w:r>
    </w:p>
    <w:p w:rsidR="0049004E" w:rsidRDefault="0049004E" w:rsidP="0049004E">
      <w:pPr>
        <w:jc w:val="both"/>
        <w:rPr>
          <w:b/>
        </w:rPr>
      </w:pPr>
    </w:p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1074"/>
        <w:gridCol w:w="1914"/>
        <w:gridCol w:w="1276"/>
        <w:gridCol w:w="1419"/>
        <w:gridCol w:w="1593"/>
        <w:gridCol w:w="1418"/>
      </w:tblGrid>
      <w:tr w:rsidR="0049004E" w:rsidRPr="00CD3FF1" w:rsidTr="002A0039">
        <w:trPr>
          <w:trHeight w:val="765"/>
        </w:trPr>
        <w:tc>
          <w:tcPr>
            <w:tcW w:w="414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74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Program/Akcja</w:t>
            </w:r>
          </w:p>
        </w:tc>
        <w:tc>
          <w:tcPr>
            <w:tcW w:w="1914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Nazwa szkolenia</w:t>
            </w:r>
          </w:p>
        </w:tc>
        <w:tc>
          <w:tcPr>
            <w:tcW w:w="1276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Data rozpoczęcia szkolenia</w:t>
            </w:r>
          </w:p>
        </w:tc>
        <w:tc>
          <w:tcPr>
            <w:tcW w:w="1419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Data zakończenia szkolenia</w:t>
            </w:r>
          </w:p>
        </w:tc>
        <w:tc>
          <w:tcPr>
            <w:tcW w:w="1593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Zakwaterowanie</w:t>
            </w:r>
          </w:p>
        </w:tc>
        <w:tc>
          <w:tcPr>
            <w:tcW w:w="1418" w:type="dxa"/>
            <w:shd w:val="clear" w:color="auto" w:fill="92D050"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b/>
                <w:bCs/>
                <w:color w:val="000000"/>
                <w:sz w:val="20"/>
                <w:szCs w:val="20"/>
                <w:lang w:eastAsia="en-US"/>
              </w:rPr>
              <w:t>Sala konferencyjna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2015-01-19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2015-01-24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2015-02-02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2015-02-07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2015-02-09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2015-02-14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2015-02-16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2015-02-21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2015-02-23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2015-02-28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2015-03-02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2015-03-07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2015-03-09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2015-03-14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2015-03-16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2015-03-21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2015-03-23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2015-03-28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2015-03-30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2015-04-04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2015-04-13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2015-04-18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E72B9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rasmus</w:t>
            </w:r>
            <w:r w:rsidRPr="0047784C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/</w:t>
            </w:r>
            <w:r w:rsidRPr="0047784C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91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D3FF1">
              <w:rPr>
                <w:color w:val="000000"/>
                <w:sz w:val="20"/>
                <w:szCs w:val="20"/>
                <w:lang w:eastAsia="en-US"/>
              </w:rPr>
              <w:t>Spotkanie Zespołu Trenerskiego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2015-04-23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2015-04-26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9A2EE9">
              <w:rPr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(do 50 os.)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2015-11-02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2015-11-07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2015-12-07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2015-12-12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2016-01-11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2016-01-16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2016-01-18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2016-01-23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2016-02-01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2016-02-06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2016-02-08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2016-02-13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2016-02-15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2016-02-20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  <w:p w:rsidR="002A0039" w:rsidRPr="0047784C" w:rsidRDefault="002A0039" w:rsidP="002A00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2016-02-22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2016-02-27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2016-02-29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2016-03-05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2016-03-07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2016-03-12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2016-03-14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2016-03-19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2016-03-21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2016-03-26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2016-04-04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2016-04-09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2016-04-11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2016-04-16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2016-04-18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2016-04-23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2016-04-25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2016-04-30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2016-05-09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2016-05-14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2016-11-07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2016-11-12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2016-12-05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2016-12-10</w:t>
            </w: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do ustalenia</w:t>
            </w:r>
          </w:p>
        </w:tc>
        <w:tc>
          <w:tcPr>
            <w:tcW w:w="1419" w:type="dxa"/>
            <w:shd w:val="clear" w:color="auto" w:fill="FFFFFF"/>
            <w:noWrap/>
            <w:vAlign w:val="center"/>
            <w:hideMark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004E" w:rsidRPr="0047784C" w:rsidTr="002A0039">
        <w:trPr>
          <w:trHeight w:val="285"/>
        </w:trPr>
        <w:tc>
          <w:tcPr>
            <w:tcW w:w="414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74" w:type="dxa"/>
            <w:shd w:val="clear" w:color="auto" w:fill="FFFFFF"/>
            <w:noWrap/>
            <w:vAlign w:val="bottom"/>
            <w:hideMark/>
          </w:tcPr>
          <w:p w:rsidR="0049004E" w:rsidRPr="0047784C" w:rsidRDefault="0049004E" w:rsidP="002A0039">
            <w:pPr>
              <w:rPr>
                <w:color w:val="000000"/>
                <w:sz w:val="20"/>
                <w:szCs w:val="20"/>
              </w:rPr>
            </w:pPr>
            <w:r w:rsidRPr="0047784C">
              <w:rPr>
                <w:color w:val="000000"/>
                <w:sz w:val="20"/>
                <w:szCs w:val="20"/>
              </w:rPr>
              <w:t>Erasmus+/KA1-Y</w:t>
            </w:r>
          </w:p>
        </w:tc>
        <w:tc>
          <w:tcPr>
            <w:tcW w:w="1914" w:type="dxa"/>
            <w:shd w:val="clear" w:color="auto" w:fill="FFFFFF"/>
            <w:noWrap/>
            <w:hideMark/>
          </w:tcPr>
          <w:p w:rsidR="0049004E" w:rsidRPr="0047784C" w:rsidRDefault="0049004E" w:rsidP="002A0039">
            <w:pPr>
              <w:rPr>
                <w:sz w:val="20"/>
                <w:szCs w:val="20"/>
              </w:rPr>
            </w:pPr>
            <w:r w:rsidRPr="0047784C">
              <w:rPr>
                <w:sz w:val="20"/>
                <w:szCs w:val="20"/>
              </w:rPr>
              <w:t>Szkolenie ewaluacji pośredniej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  <w:r w:rsidRPr="00CD3FF1">
              <w:rPr>
                <w:color w:val="000000"/>
                <w:sz w:val="20"/>
                <w:szCs w:val="20"/>
              </w:rPr>
              <w:t>do ustalenia</w:t>
            </w:r>
          </w:p>
        </w:tc>
        <w:tc>
          <w:tcPr>
            <w:tcW w:w="1419" w:type="dxa"/>
            <w:shd w:val="clear" w:color="auto" w:fill="FFFFFF"/>
            <w:noWrap/>
            <w:vAlign w:val="center"/>
          </w:tcPr>
          <w:p w:rsidR="0049004E" w:rsidRPr="00CD3FF1" w:rsidRDefault="0049004E" w:rsidP="002A00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  <w:noWrap/>
            <w:vAlign w:val="center"/>
            <w:hideMark/>
          </w:tcPr>
          <w:p w:rsidR="0049004E" w:rsidRDefault="0049004E" w:rsidP="002A0039">
            <w:pPr>
              <w:jc w:val="center"/>
            </w:pPr>
            <w:r w:rsidRPr="008D6EAE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FFFFFF"/>
            <w:noWrap/>
            <w:vAlign w:val="center"/>
            <w:hideMark/>
          </w:tcPr>
          <w:p w:rsidR="0049004E" w:rsidRPr="0047784C" w:rsidRDefault="0049004E" w:rsidP="002A003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</w:tbl>
    <w:p w:rsidR="0049004E" w:rsidRPr="00AF498F" w:rsidRDefault="0049004E" w:rsidP="0049004E">
      <w:pPr>
        <w:jc w:val="both"/>
      </w:pPr>
    </w:p>
    <w:p w:rsidR="0049004E" w:rsidRPr="00B7767F" w:rsidRDefault="0049004E" w:rsidP="0049004E">
      <w:pPr>
        <w:jc w:val="both"/>
        <w:rPr>
          <w:b/>
        </w:rPr>
      </w:pPr>
    </w:p>
    <w:p w:rsidR="0049004E" w:rsidRPr="00B7767F" w:rsidRDefault="0049004E" w:rsidP="0049004E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49004E" w:rsidRPr="00B7767F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</w:pPr>
      <w:r w:rsidRPr="00715167">
        <w:rPr>
          <w:b/>
        </w:rPr>
        <w:t>Liczba uczestników</w:t>
      </w:r>
      <w:r w:rsidR="002A0039">
        <w:t xml:space="preserve"> szkoleń spotkań </w:t>
      </w:r>
      <w:r w:rsidRPr="00B7767F">
        <w:t xml:space="preserve">może wynieść od </w:t>
      </w:r>
      <w:r>
        <w:t>10</w:t>
      </w:r>
      <w:r w:rsidRPr="00B7767F">
        <w:t xml:space="preserve"> do </w:t>
      </w:r>
      <w:r>
        <w:t xml:space="preserve">30 </w:t>
      </w:r>
      <w:r w:rsidRPr="00B7767F">
        <w:t xml:space="preserve">osób.  </w:t>
      </w:r>
    </w:p>
    <w:p w:rsidR="0049004E" w:rsidRPr="00B7767F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</w:pPr>
      <w:r w:rsidRPr="00715167">
        <w:rPr>
          <w:b/>
        </w:rPr>
        <w:t xml:space="preserve">Standard </w:t>
      </w:r>
      <w:r>
        <w:rPr>
          <w:b/>
        </w:rPr>
        <w:t>ośrodka</w:t>
      </w:r>
      <w:r w:rsidRPr="00B7767F">
        <w:t xml:space="preserve">: </w:t>
      </w:r>
      <w:r w:rsidRPr="0073456E">
        <w:t>obiekt (o standardzie min. 2 gwiazdkowym)</w:t>
      </w:r>
      <w:r>
        <w:t xml:space="preserve">,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 w:rsidRPr="006F5707">
        <w:t xml:space="preserve">. </w:t>
      </w:r>
    </w:p>
    <w:p w:rsidR="0049004E" w:rsidRPr="004A6746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b/>
        </w:rPr>
        <w:t xml:space="preserve">Lokalizacja: </w:t>
      </w:r>
      <w:r>
        <w:t>Obiekt</w:t>
      </w:r>
      <w:r w:rsidRPr="00715167">
        <w:rPr>
          <w:b/>
        </w:rPr>
        <w:t xml:space="preserve"> </w:t>
      </w:r>
      <w:r w:rsidRPr="00715167">
        <w:rPr>
          <w:color w:val="000000"/>
        </w:rPr>
        <w:t xml:space="preserve">powinien być zlokalizowany w </w:t>
      </w:r>
      <w:r>
        <w:rPr>
          <w:color w:val="000000"/>
        </w:rPr>
        <w:t>Toruniu.</w:t>
      </w:r>
      <w:r w:rsidRPr="00B7767F">
        <w:t xml:space="preserve"> </w:t>
      </w:r>
      <w:r>
        <w:t>Obiekt powinien znajdować się maksymalnie 700 m od głównego dworca PKS (</w:t>
      </w:r>
      <w:r w:rsidRPr="004A6746">
        <w:t>Dąbrowskiego 8, 87-100, Toruń</w:t>
      </w:r>
      <w:r>
        <w:t xml:space="preserve">) w Toruniu, maksymalnie 3,5 km od dworca PKP Toruń Główny oraz </w:t>
      </w:r>
      <w:r w:rsidRPr="004A6746">
        <w:t>nie dalej niż 500</w:t>
      </w:r>
      <w:r>
        <w:t xml:space="preserve"> m</w:t>
      </w:r>
      <w:r w:rsidRPr="004A6746">
        <w:t xml:space="preserve"> od </w:t>
      </w:r>
      <w:r>
        <w:t xml:space="preserve">Starego Miasta (Starówka w Toruniu). </w:t>
      </w:r>
    </w:p>
    <w:p w:rsidR="0049004E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b/>
        </w:rPr>
        <w:t>Otoczenie hotelu:</w:t>
      </w:r>
      <w:r>
        <w:t xml:space="preserve"> </w:t>
      </w:r>
      <w:r>
        <w:rPr>
          <w:color w:val="000000"/>
        </w:rPr>
        <w:t>Obiekt  powinien znajdować się bezpośrednim sąsiedztwie Starego Miasta w Toruniu. Bezpośrednie sąsiedztwo oznacza dystans nie większy niż 500 m.</w:t>
      </w:r>
    </w:p>
    <w:p w:rsidR="0049004E" w:rsidRPr="00715167" w:rsidRDefault="0049004E" w:rsidP="0049004E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>
        <w:rPr>
          <w:b/>
        </w:rPr>
        <w:t xml:space="preserve">Warunki szczególne: </w:t>
      </w:r>
    </w:p>
    <w:p w:rsidR="0049004E" w:rsidRPr="003E0408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</w:rPr>
      </w:pPr>
      <w:r>
        <w:t>Ośrodek</w:t>
      </w:r>
      <w:r w:rsidRPr="00B7767F">
        <w:t xml:space="preserve"> powinien posiadać dostępność do Internetu.</w:t>
      </w:r>
    </w:p>
    <w:p w:rsidR="0049004E" w:rsidRPr="003E0408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  <w:rPr>
          <w:color w:val="000000"/>
        </w:rPr>
      </w:pPr>
      <w:r>
        <w:t>Ośrodek powinien zapewnić pomieszczenie w którym Zamawiający będzie mógł przechować bezpiecznie materiały szkoleniowe i sprzęt pomiędzy szkoleniami.</w:t>
      </w:r>
    </w:p>
    <w:p w:rsidR="0049004E" w:rsidRPr="0018241D" w:rsidRDefault="002A0039" w:rsidP="0049004E">
      <w:pPr>
        <w:spacing w:line="360" w:lineRule="auto"/>
        <w:jc w:val="both"/>
      </w:pPr>
      <w:r>
        <w:rPr>
          <w:color w:val="000000"/>
        </w:rPr>
        <w:lastRenderedPageBreak/>
        <w:t>Zaleca się aby Wykonawca posiadał stronę internetową</w:t>
      </w:r>
      <w:r w:rsidR="0049004E" w:rsidRPr="0018241D">
        <w:rPr>
          <w:color w:val="000000"/>
        </w:rPr>
        <w:t xml:space="preserve"> obiektu (w języku polskim i angielskim) z galerią zdjęć, opisem standardu i wyposażenia pokoi i sal konferencyjnych oraz mapą dojazdu</w:t>
      </w:r>
      <w:r w:rsidR="0049004E">
        <w:rPr>
          <w:color w:val="000000"/>
        </w:rPr>
        <w:t>.</w:t>
      </w:r>
    </w:p>
    <w:p w:rsidR="0049004E" w:rsidRPr="00B7767F" w:rsidRDefault="0049004E" w:rsidP="0049004E">
      <w:pPr>
        <w:spacing w:line="360" w:lineRule="auto"/>
        <w:ind w:left="720"/>
        <w:jc w:val="both"/>
      </w:pPr>
    </w:p>
    <w:p w:rsidR="0049004E" w:rsidRPr="00B7767F" w:rsidRDefault="0049004E" w:rsidP="0049004E">
      <w:pPr>
        <w:spacing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49004E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</w:pPr>
      <w:r w:rsidRPr="005524E4">
        <w:rPr>
          <w:b/>
        </w:rPr>
        <w:t xml:space="preserve">Zakwaterowanie i wymeldowanie z hotelu uczestników szkolenia </w:t>
      </w:r>
      <w:r w:rsidRPr="00B7767F">
        <w:t xml:space="preserve">– zgodnie </w:t>
      </w:r>
      <w:r>
        <w:br/>
      </w:r>
      <w:r w:rsidRPr="00B7767F">
        <w:t xml:space="preserve">z obowiązującą dla hotelu dobą hotelową. Doba hotelowa rozpoczyna się o godz. 14:00 </w:t>
      </w:r>
      <w:r>
        <w:br/>
      </w:r>
      <w:r w:rsidRPr="00B7767F">
        <w:t xml:space="preserve">i kończy o godz. 12:00 </w:t>
      </w:r>
      <w:r>
        <w:t xml:space="preserve">dnia następnego. </w:t>
      </w:r>
      <w:r w:rsidRPr="00B7767F">
        <w:t>Powyższy wymóg jes</w:t>
      </w:r>
      <w:r>
        <w:t xml:space="preserve">t jedynie </w:t>
      </w:r>
      <w:r w:rsidR="007F1F5E">
        <w:t>wymogiem minimalnym</w:t>
      </w:r>
      <w:r>
        <w:t>.</w:t>
      </w:r>
      <w:r w:rsidRPr="00B7767F">
        <w:t xml:space="preserve"> Zamawiający w porozumieniu z Wykonawcą może zmienić godziny doby hotelowej. W przypadku </w:t>
      </w:r>
      <w:r>
        <w:t xml:space="preserve">wcześniejszego przyjazdu uczestnika na szkolenie lub </w:t>
      </w:r>
      <w:r w:rsidRPr="00B7767F">
        <w:t>przedłużenia programu pobytu</w:t>
      </w:r>
      <w:r>
        <w:t xml:space="preserve"> po godz. 12-tej </w:t>
      </w:r>
      <w:r w:rsidRPr="00B7767F">
        <w:t xml:space="preserve">Wykonawca zapewni uczestnikom szkolenia </w:t>
      </w:r>
      <w:r>
        <w:t>bezpieczne pomieszczenie do przechowania bagażu</w:t>
      </w:r>
      <w:r w:rsidRPr="00B7767F">
        <w:t>.</w:t>
      </w:r>
      <w:r>
        <w:t xml:space="preserve"> </w:t>
      </w:r>
    </w:p>
    <w:p w:rsidR="0049004E" w:rsidRPr="00B7767F" w:rsidRDefault="0049004E" w:rsidP="0049004E">
      <w:pPr>
        <w:spacing w:line="360" w:lineRule="auto"/>
        <w:ind w:firstLine="360"/>
        <w:jc w:val="both"/>
      </w:pPr>
      <w:r>
        <w:t>Obiekt</w:t>
      </w:r>
      <w:r w:rsidRPr="00B7767F">
        <w:t xml:space="preserve"> powinien </w:t>
      </w:r>
      <w:r w:rsidRPr="001C1D2C">
        <w:t>dysponować łącznie co najmniej 30 miejscami noclegowymi</w:t>
      </w:r>
      <w:r w:rsidRPr="00B7767F">
        <w:t xml:space="preserve">. </w:t>
      </w:r>
    </w:p>
    <w:p w:rsidR="0049004E" w:rsidRPr="00560A2F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</w:pPr>
      <w:r w:rsidRPr="00560A2F">
        <w:t>Możliwość wynajmu pokoju jednoosobowego dla osób prowadzących szkolenia</w:t>
      </w:r>
      <w:r>
        <w:t>,</w:t>
      </w:r>
    </w:p>
    <w:p w:rsidR="0049004E" w:rsidRPr="00560A2F" w:rsidRDefault="0049004E" w:rsidP="0049004E">
      <w:pPr>
        <w:pStyle w:val="Akapitzlist"/>
        <w:numPr>
          <w:ilvl w:val="1"/>
          <w:numId w:val="11"/>
        </w:numPr>
        <w:spacing w:line="360" w:lineRule="auto"/>
        <w:jc w:val="both"/>
      </w:pPr>
      <w:r w:rsidRPr="00560A2F">
        <w:t xml:space="preserve">Możliwość wynajmu </w:t>
      </w:r>
      <w:r w:rsidRPr="002A0039">
        <w:t>pokoju od dwu do czteroosobowego</w:t>
      </w:r>
      <w:r w:rsidRPr="00560A2F">
        <w:t xml:space="preserve"> dla uczestników</w:t>
      </w:r>
      <w:r>
        <w:t>.</w:t>
      </w:r>
    </w:p>
    <w:p w:rsidR="0049004E" w:rsidRDefault="0049004E" w:rsidP="0049004E">
      <w:pPr>
        <w:jc w:val="both"/>
      </w:pPr>
    </w:p>
    <w:p w:rsidR="0049004E" w:rsidRPr="00560A2F" w:rsidRDefault="0049004E" w:rsidP="0049004E">
      <w:pPr>
        <w:jc w:val="both"/>
      </w:pPr>
      <w:r w:rsidRPr="00560A2F">
        <w:t>Zamawiający może wymagać a Wykonawca zapewni pokoje dwuosobowe do pojedynczego wykorzystania.</w:t>
      </w:r>
    </w:p>
    <w:p w:rsidR="0049004E" w:rsidRDefault="0049004E" w:rsidP="006164E6">
      <w:pPr>
        <w:spacing w:line="360" w:lineRule="auto"/>
        <w:jc w:val="both"/>
        <w:rPr>
          <w:b/>
        </w:rPr>
      </w:pPr>
    </w:p>
    <w:p w:rsidR="006164E6" w:rsidRPr="006164E6" w:rsidRDefault="006164E6" w:rsidP="006164E6">
      <w:pPr>
        <w:spacing w:line="360" w:lineRule="auto"/>
        <w:jc w:val="both"/>
      </w:pPr>
      <w:r w:rsidRPr="007E325E">
        <w:t xml:space="preserve">Zamawiający wymaga by podczas </w:t>
      </w:r>
      <w:r w:rsidR="007E325E" w:rsidRPr="007E325E">
        <w:t>spotkania</w:t>
      </w:r>
      <w:r w:rsidRPr="007E325E">
        <w:t xml:space="preserve"> pt. „Spotkanie Zespołu Trenerskiego” (planowane daty 23-26.04.2015 r.) Wykonawca zapewnił dostęp do pokojów 2 osobowych </w:t>
      </w:r>
      <w:r w:rsidR="00E5437A" w:rsidRPr="007E325E">
        <w:t xml:space="preserve">(w pierwszej kolejności) </w:t>
      </w:r>
      <w:r w:rsidRPr="007E325E">
        <w:t xml:space="preserve">oraz 3 osobowych </w:t>
      </w:r>
      <w:r w:rsidR="00E5437A" w:rsidRPr="007E325E">
        <w:t xml:space="preserve">(w drugiej kolejności) </w:t>
      </w:r>
      <w:r w:rsidRPr="007E325E">
        <w:t>dla uczestników.</w:t>
      </w:r>
    </w:p>
    <w:p w:rsidR="006164E6" w:rsidRPr="006164E6" w:rsidRDefault="006164E6" w:rsidP="006164E6">
      <w:pPr>
        <w:spacing w:line="360" w:lineRule="auto"/>
        <w:jc w:val="both"/>
        <w:rPr>
          <w:b/>
        </w:rPr>
      </w:pPr>
    </w:p>
    <w:p w:rsidR="0049004E" w:rsidRDefault="0049004E" w:rsidP="0049004E">
      <w:pPr>
        <w:spacing w:line="360" w:lineRule="auto"/>
        <w:jc w:val="both"/>
        <w:rPr>
          <w:b/>
        </w:rPr>
      </w:pPr>
      <w:r>
        <w:rPr>
          <w:b/>
        </w:rPr>
        <w:t>Zamawiający może wymagać a Wykonawca zapewni dodatkowe pokoje zarówno przed jak i po planowanym terminie Szkolenia (pokoje muszą być w cenach nie wyższych niż te zaoferowane w formularzu oferty).</w:t>
      </w:r>
    </w:p>
    <w:p w:rsidR="0049004E" w:rsidRPr="00CC6C6F" w:rsidRDefault="0049004E" w:rsidP="002A0039">
      <w:pPr>
        <w:spacing w:line="360" w:lineRule="auto"/>
        <w:jc w:val="both"/>
      </w:pPr>
      <w:r w:rsidRPr="00CC6C6F">
        <w:t>Zamawiający zobowiązuje się informować o faktycznym zapotrzebowaniu na pokoje</w:t>
      </w:r>
      <w:r>
        <w:t xml:space="preserve"> na 7 dni </w:t>
      </w:r>
      <w:r w:rsidRPr="00CC6C6F">
        <w:t xml:space="preserve">przed planowanym terminem </w:t>
      </w:r>
      <w:r w:rsidR="002A0039">
        <w:t>szkolenia</w:t>
      </w:r>
      <w:r>
        <w:t>.</w:t>
      </w:r>
      <w:r w:rsidRPr="003946A3">
        <w:t xml:space="preserve"> </w:t>
      </w:r>
      <w:r w:rsidRPr="00CC6C6F">
        <w:t xml:space="preserve">Zamawiający zobowiązuje się informować o faktycznym zapotrzebowaniu na </w:t>
      </w:r>
      <w:r>
        <w:t xml:space="preserve">wyżywienie na 3 dni </w:t>
      </w:r>
      <w:r w:rsidRPr="00CC6C6F">
        <w:t xml:space="preserve">przed planowanym terminem </w:t>
      </w:r>
      <w:r w:rsidR="002A0039">
        <w:t>szkolenia</w:t>
      </w:r>
      <w:r>
        <w:t>.</w:t>
      </w:r>
    </w:p>
    <w:p w:rsidR="0049004E" w:rsidRDefault="0049004E" w:rsidP="0049004E">
      <w:pPr>
        <w:spacing w:line="360" w:lineRule="auto"/>
        <w:jc w:val="both"/>
      </w:pPr>
      <w:r>
        <w:rPr>
          <w:b/>
        </w:rPr>
        <w:t xml:space="preserve">Wykonawca zapewni 3 bezpłatne miejsca parkingowe dla uczestników </w:t>
      </w:r>
      <w:r w:rsidR="002A0039">
        <w:rPr>
          <w:b/>
        </w:rPr>
        <w:t>szkoleń</w:t>
      </w:r>
      <w:r>
        <w:rPr>
          <w:b/>
        </w:rPr>
        <w:t>.</w:t>
      </w:r>
    </w:p>
    <w:p w:rsidR="0049004E" w:rsidRDefault="0049004E" w:rsidP="0049004E">
      <w:pPr>
        <w:rPr>
          <w:b/>
        </w:rPr>
      </w:pPr>
    </w:p>
    <w:p w:rsidR="002A0039" w:rsidRDefault="002A0039" w:rsidP="0049004E">
      <w:pPr>
        <w:rPr>
          <w:b/>
        </w:rPr>
      </w:pPr>
    </w:p>
    <w:p w:rsidR="0049004E" w:rsidRPr="00B7767F" w:rsidRDefault="0049004E" w:rsidP="0049004E">
      <w:pPr>
        <w:rPr>
          <w:b/>
        </w:rPr>
      </w:pPr>
      <w:r w:rsidRPr="00B7767F">
        <w:rPr>
          <w:b/>
        </w:rPr>
        <w:t>III. SALE KONFERENCYJNE</w:t>
      </w:r>
    </w:p>
    <w:p w:rsidR="0049004E" w:rsidRDefault="0049004E" w:rsidP="0049004E">
      <w:pPr>
        <w:spacing w:line="360" w:lineRule="auto"/>
        <w:jc w:val="both"/>
      </w:pPr>
    </w:p>
    <w:p w:rsidR="0049004E" w:rsidRPr="002A0039" w:rsidRDefault="0049004E" w:rsidP="0049004E">
      <w:pPr>
        <w:spacing w:line="360" w:lineRule="auto"/>
        <w:jc w:val="both"/>
      </w:pPr>
      <w:r w:rsidRPr="002A0039">
        <w:t>Ośrodek powinien dysponować dwiema salami konferencyjnymi o pojemności:</w:t>
      </w:r>
    </w:p>
    <w:p w:rsidR="0049004E" w:rsidRPr="002A0039" w:rsidRDefault="0049004E" w:rsidP="0049004E">
      <w:pPr>
        <w:spacing w:line="360" w:lineRule="auto"/>
        <w:jc w:val="both"/>
      </w:pPr>
      <w:r w:rsidRPr="002A0039">
        <w:lastRenderedPageBreak/>
        <w:t xml:space="preserve">- </w:t>
      </w:r>
      <w:r w:rsidR="002A0039" w:rsidRPr="002A0039">
        <w:t>do</w:t>
      </w:r>
      <w:r w:rsidRPr="002A0039">
        <w:t xml:space="preserve"> 20 osób,</w:t>
      </w:r>
    </w:p>
    <w:p w:rsidR="0049004E" w:rsidRPr="00B7767F" w:rsidRDefault="0049004E" w:rsidP="0049004E">
      <w:pPr>
        <w:spacing w:line="360" w:lineRule="auto"/>
        <w:jc w:val="both"/>
      </w:pPr>
      <w:r w:rsidRPr="002A0039">
        <w:t>- do 50 osób.</w:t>
      </w:r>
    </w:p>
    <w:p w:rsidR="0049004E" w:rsidRPr="00CB720B" w:rsidRDefault="0049004E" w:rsidP="0049004E">
      <w:pPr>
        <w:pStyle w:val="Akapitzlist"/>
        <w:numPr>
          <w:ilvl w:val="0"/>
          <w:numId w:val="12"/>
        </w:numPr>
        <w:spacing w:line="360" w:lineRule="auto"/>
        <w:jc w:val="both"/>
        <w:rPr>
          <w:b/>
        </w:rPr>
      </w:pPr>
      <w:r w:rsidRPr="00CB720B">
        <w:rPr>
          <w:b/>
        </w:rPr>
        <w:t>Wyposażenie sal konferencyjnych:</w:t>
      </w:r>
    </w:p>
    <w:p w:rsidR="0049004E" w:rsidRPr="00560A2F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</w:p>
    <w:p w:rsidR="0049004E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Pr="004F2117">
        <w:t>W Formularzu Cenowym do obliczenia pojemności sali konferencyjnej uwzględniono ustawienie teatralne.</w:t>
      </w:r>
    </w:p>
    <w:p w:rsidR="0049004E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</w:t>
      </w:r>
      <w:proofErr w:type="spellStart"/>
      <w:r w:rsidRPr="00DF31EB">
        <w:t>flipchart</w:t>
      </w:r>
      <w:proofErr w:type="spellEnd"/>
      <w:r w:rsidRPr="00DF31EB">
        <w:t xml:space="preserve">, blok do </w:t>
      </w:r>
      <w:proofErr w:type="spellStart"/>
      <w:r w:rsidRPr="00DF31EB">
        <w:t>flipcharta</w:t>
      </w:r>
      <w:proofErr w:type="spellEnd"/>
      <w:r w:rsidRPr="00DF31EB">
        <w:t xml:space="preserve">, mazaki do </w:t>
      </w:r>
      <w:r w:rsidRPr="002A0039">
        <w:t xml:space="preserve">pisania w 3 kolorach, bezpłatny dostęp do Internetu </w:t>
      </w:r>
      <w:proofErr w:type="spellStart"/>
      <w:r w:rsidRPr="002A0039">
        <w:t>wi</w:t>
      </w:r>
      <w:proofErr w:type="spellEnd"/>
      <w:r w:rsidRPr="002A0039">
        <w:t xml:space="preserve"> fi (dla min. 20 oraz maks. 50 osób w tym samym czasie), dostęp do gniazd 220V – dla min. 20 oraz maks. 50 uczestników.</w:t>
      </w:r>
      <w:r w:rsidRPr="00DF31EB">
        <w:t xml:space="preserve"> </w:t>
      </w:r>
      <w:r w:rsidRPr="004F2117">
        <w:t>Sprzęt konferencyjny będzie wliczony w cenę wynajmu sali konferencyjnej w formularzu oferty.</w:t>
      </w:r>
    </w:p>
    <w:p w:rsidR="0049004E" w:rsidRPr="00350206" w:rsidRDefault="0049004E" w:rsidP="0049004E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>wcześniejszego dostępu do sal konferencyjnych</w:t>
      </w:r>
      <w:r w:rsidRPr="00B7767F">
        <w:t xml:space="preserve"> (w</w:t>
      </w:r>
      <w:r w:rsidR="00167F31">
        <w:t xml:space="preserve"> </w:t>
      </w:r>
      <w:r w:rsidRPr="00B7767F">
        <w:t xml:space="preserve">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49004E" w:rsidRDefault="0049004E" w:rsidP="0049004E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>
        <w:t>.</w:t>
      </w:r>
    </w:p>
    <w:p w:rsidR="002A0039" w:rsidRDefault="0049004E" w:rsidP="0049004E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sal do zajęć, zainstalowanie sprzętu multimedialnego i sprawdzenie jego stanu technicznego, a także zagwarantuje, aby ewentualna usługa gastronomiczna w czasie przerw będzie przebiegała sprawnie i zgodnie z umową oraz obsługę sprzątającą. </w:t>
      </w:r>
    </w:p>
    <w:p w:rsidR="003E12C7" w:rsidRPr="00B7767F" w:rsidRDefault="003E12C7" w:rsidP="001E707D">
      <w:pPr>
        <w:spacing w:line="360" w:lineRule="auto"/>
        <w:ind w:left="1080"/>
        <w:jc w:val="both"/>
      </w:pPr>
    </w:p>
    <w:p w:rsidR="0049004E" w:rsidRPr="00B7767F" w:rsidRDefault="0049004E" w:rsidP="0049004E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IV WYŻYWIENIE</w:t>
      </w:r>
    </w:p>
    <w:p w:rsidR="0049004E" w:rsidRDefault="0049004E" w:rsidP="0049004E">
      <w:pPr>
        <w:spacing w:before="120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>z Wykonawcą lub osobą wskazaną przez niego.</w:t>
      </w:r>
    </w:p>
    <w:p w:rsidR="0049004E" w:rsidRPr="004F2117" w:rsidRDefault="0049004E" w:rsidP="0049004E">
      <w:pPr>
        <w:spacing w:before="120"/>
        <w:jc w:val="both"/>
      </w:pPr>
      <w:r w:rsidRPr="00B7767F">
        <w:t xml:space="preserve">Ostateczne wymogi dotyczące ilości posiłków i ich składu zostaną podane na trzy dni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  <w:r w:rsidR="000C45C0">
        <w:t>W</w:t>
      </w:r>
      <w:r w:rsidRPr="004F2117">
        <w:t xml:space="preserve"> trakcie każdego szkolenia </w:t>
      </w:r>
      <w:r w:rsidR="000C45C0">
        <w:t xml:space="preserve">Wykonawca zapewni </w:t>
      </w:r>
      <w:r w:rsidRPr="004F2117">
        <w:t>możliwość przygotowania wyżywienia opartego na diecie specjalnej dla wybranych uczestników</w:t>
      </w:r>
    </w:p>
    <w:p w:rsidR="0049004E" w:rsidRPr="00B7767F" w:rsidRDefault="0049004E" w:rsidP="0049004E">
      <w:pPr>
        <w:spacing w:line="360" w:lineRule="auto"/>
        <w:jc w:val="both"/>
      </w:pPr>
    </w:p>
    <w:p w:rsidR="0049004E" w:rsidRPr="00C5220A" w:rsidRDefault="0049004E" w:rsidP="0049004E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49004E" w:rsidRPr="00C5220A" w:rsidRDefault="0049004E" w:rsidP="0049004E">
      <w:pPr>
        <w:pStyle w:val="Akapitzlist"/>
        <w:numPr>
          <w:ilvl w:val="1"/>
          <w:numId w:val="10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49004E" w:rsidRDefault="0049004E" w:rsidP="0049004E">
      <w:pPr>
        <w:numPr>
          <w:ilvl w:val="0"/>
          <w:numId w:val="15"/>
        </w:numPr>
      </w:pPr>
      <w:r w:rsidRPr="00E6041D">
        <w:t>Wędliny</w:t>
      </w:r>
    </w:p>
    <w:p w:rsidR="0049004E" w:rsidRDefault="0049004E" w:rsidP="0049004E">
      <w:pPr>
        <w:numPr>
          <w:ilvl w:val="0"/>
          <w:numId w:val="15"/>
        </w:numPr>
      </w:pPr>
      <w:r w:rsidRPr="00E6041D">
        <w:t>Pomidor, ogórek</w:t>
      </w:r>
    </w:p>
    <w:p w:rsidR="0049004E" w:rsidRDefault="0049004E" w:rsidP="0049004E">
      <w:pPr>
        <w:numPr>
          <w:ilvl w:val="0"/>
          <w:numId w:val="15"/>
        </w:numPr>
      </w:pPr>
      <w:proofErr w:type="spellStart"/>
      <w:r w:rsidRPr="00E6041D">
        <w:t>Musli</w:t>
      </w:r>
      <w:proofErr w:type="spellEnd"/>
    </w:p>
    <w:p w:rsidR="0049004E" w:rsidRDefault="0049004E" w:rsidP="0049004E">
      <w:pPr>
        <w:numPr>
          <w:ilvl w:val="0"/>
          <w:numId w:val="15"/>
        </w:numPr>
      </w:pPr>
      <w:r w:rsidRPr="00E6041D">
        <w:t>Jogurty owocowe i naturalne</w:t>
      </w:r>
    </w:p>
    <w:p w:rsidR="0049004E" w:rsidRDefault="0049004E" w:rsidP="0049004E">
      <w:pPr>
        <w:numPr>
          <w:ilvl w:val="0"/>
          <w:numId w:val="15"/>
        </w:numPr>
      </w:pPr>
      <w:r w:rsidRPr="00E6041D">
        <w:t>Ser żółty</w:t>
      </w:r>
      <w:r>
        <w:t xml:space="preserve">, </w:t>
      </w:r>
      <w:r w:rsidRPr="00E6041D">
        <w:t>Ser biały</w:t>
      </w:r>
    </w:p>
    <w:p w:rsidR="0049004E" w:rsidRDefault="0049004E" w:rsidP="0049004E">
      <w:pPr>
        <w:numPr>
          <w:ilvl w:val="0"/>
          <w:numId w:val="15"/>
        </w:numPr>
      </w:pPr>
      <w:r w:rsidRPr="00E6041D">
        <w:t>Jajka w majonezie</w:t>
      </w:r>
    </w:p>
    <w:p w:rsidR="0049004E" w:rsidRDefault="0049004E" w:rsidP="0049004E">
      <w:pPr>
        <w:numPr>
          <w:ilvl w:val="0"/>
          <w:numId w:val="15"/>
        </w:numPr>
      </w:pPr>
      <w:r w:rsidRPr="00E6041D">
        <w:t>Dżem / konfitura</w:t>
      </w:r>
    </w:p>
    <w:p w:rsidR="0049004E" w:rsidRDefault="0049004E" w:rsidP="0049004E">
      <w:pPr>
        <w:numPr>
          <w:ilvl w:val="0"/>
          <w:numId w:val="15"/>
        </w:numPr>
      </w:pPr>
      <w:r w:rsidRPr="00E6041D">
        <w:t>Masło , pieczywo</w:t>
      </w:r>
    </w:p>
    <w:p w:rsidR="0049004E" w:rsidRPr="00E6041D" w:rsidRDefault="0049004E" w:rsidP="0049004E">
      <w:pPr>
        <w:numPr>
          <w:ilvl w:val="0"/>
          <w:numId w:val="15"/>
        </w:numPr>
      </w:pPr>
      <w:r w:rsidRPr="00E6041D">
        <w:t>Herbata / kawa / mleko</w:t>
      </w:r>
    </w:p>
    <w:p w:rsidR="0049004E" w:rsidRPr="00C5220A" w:rsidRDefault="0049004E" w:rsidP="0049004E">
      <w:pPr>
        <w:pStyle w:val="Akapitzlist"/>
        <w:spacing w:line="360" w:lineRule="auto"/>
        <w:ind w:left="1224"/>
        <w:jc w:val="both"/>
      </w:pPr>
    </w:p>
    <w:p w:rsidR="0049004E" w:rsidRDefault="0049004E" w:rsidP="0049004E">
      <w:pPr>
        <w:numPr>
          <w:ilvl w:val="1"/>
          <w:numId w:val="10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49004E" w:rsidRPr="004F2117" w:rsidRDefault="0049004E" w:rsidP="0049004E">
      <w:pPr>
        <w:pStyle w:val="Tekstpodstawowy"/>
        <w:numPr>
          <w:ilvl w:val="2"/>
          <w:numId w:val="10"/>
        </w:numPr>
        <w:tabs>
          <w:tab w:val="left" w:pos="1427"/>
        </w:tabs>
        <w:spacing w:after="0"/>
      </w:pPr>
      <w:r w:rsidRPr="004F2117">
        <w:t>zupa do wyboru mięsna lub</w:t>
      </w:r>
      <w:r>
        <w:t>/i</w:t>
      </w:r>
      <w:r w:rsidRPr="004F2117">
        <w:t xml:space="preserve"> wegetariańska</w:t>
      </w:r>
    </w:p>
    <w:p w:rsidR="0049004E" w:rsidRPr="004F2117" w:rsidRDefault="0049004E" w:rsidP="0049004E">
      <w:pPr>
        <w:pStyle w:val="Akapitzlist"/>
        <w:numPr>
          <w:ilvl w:val="2"/>
          <w:numId w:val="10"/>
        </w:numPr>
      </w:pPr>
      <w:r>
        <w:t>danie gorące do wyboru (</w:t>
      </w:r>
      <w:r w:rsidRPr="004F2117">
        <w:t xml:space="preserve">mięsne lub wegetariańskie) </w:t>
      </w:r>
    </w:p>
    <w:p w:rsidR="0049004E" w:rsidRPr="004F2117" w:rsidRDefault="0049004E" w:rsidP="0049004E">
      <w:pPr>
        <w:pStyle w:val="Akapitzlist"/>
        <w:numPr>
          <w:ilvl w:val="2"/>
          <w:numId w:val="10"/>
        </w:numPr>
      </w:pPr>
      <w:r w:rsidRPr="004F2117">
        <w:t xml:space="preserve">zestaw sałatek </w:t>
      </w:r>
    </w:p>
    <w:p w:rsidR="0049004E" w:rsidRPr="004F2117" w:rsidRDefault="0049004E" w:rsidP="0049004E">
      <w:pPr>
        <w:pStyle w:val="Akapitzlist"/>
        <w:numPr>
          <w:ilvl w:val="2"/>
          <w:numId w:val="10"/>
        </w:numPr>
      </w:pPr>
      <w:r w:rsidRPr="004F2117">
        <w:t>deser (do wyboru ciastko lub owoc)</w:t>
      </w:r>
    </w:p>
    <w:p w:rsidR="0049004E" w:rsidRDefault="0049004E" w:rsidP="0049004E">
      <w:pPr>
        <w:pStyle w:val="Akapitzlist"/>
        <w:numPr>
          <w:ilvl w:val="2"/>
          <w:numId w:val="10"/>
        </w:numPr>
      </w:pPr>
      <w:r w:rsidRPr="004F2117">
        <w:t>napoje  (sok lub kompot, woda mineralna, herbata)</w:t>
      </w:r>
    </w:p>
    <w:p w:rsidR="0049004E" w:rsidRPr="00B7767F" w:rsidRDefault="0049004E" w:rsidP="0049004E">
      <w:pPr>
        <w:ind w:left="1068"/>
      </w:pPr>
    </w:p>
    <w:p w:rsidR="0049004E" w:rsidRDefault="0049004E" w:rsidP="0049004E">
      <w:pPr>
        <w:numPr>
          <w:ilvl w:val="1"/>
          <w:numId w:val="10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49004E" w:rsidRPr="004F2117" w:rsidRDefault="0049004E" w:rsidP="0049004E">
      <w:pPr>
        <w:pStyle w:val="Tekstpodstawowy"/>
        <w:numPr>
          <w:ilvl w:val="2"/>
          <w:numId w:val="10"/>
        </w:numPr>
        <w:tabs>
          <w:tab w:val="left" w:pos="1427"/>
        </w:tabs>
        <w:spacing w:after="0"/>
      </w:pPr>
      <w:r>
        <w:t>Danie</w:t>
      </w:r>
      <w:r w:rsidRPr="004F2117">
        <w:t xml:space="preserve"> zimne lub gorące –mięsne lub</w:t>
      </w:r>
      <w:r>
        <w:t>/i</w:t>
      </w:r>
      <w:r w:rsidRPr="004F2117">
        <w:t xml:space="preserve"> wegetariańskie;</w:t>
      </w:r>
    </w:p>
    <w:p w:rsidR="0049004E" w:rsidRDefault="0049004E" w:rsidP="0049004E">
      <w:pPr>
        <w:pStyle w:val="Tekstpodstawowy"/>
        <w:numPr>
          <w:ilvl w:val="2"/>
          <w:numId w:val="10"/>
        </w:numPr>
        <w:tabs>
          <w:tab w:val="left" w:pos="1427"/>
        </w:tabs>
        <w:spacing w:after="0"/>
      </w:pPr>
      <w:r w:rsidRPr="004F2117">
        <w:t xml:space="preserve">herbata – po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 każdego rodzaju napoju, dodatki herbaty (cukier brązowy i biały, śmietanka do kawy, mleko, cytryna w plasterkach),</w:t>
      </w:r>
      <w:r>
        <w:t xml:space="preserve"> sok,</w:t>
      </w:r>
      <w:r w:rsidRPr="004F2117">
        <w:t xml:space="preserve"> woda mineralna.</w:t>
      </w:r>
    </w:p>
    <w:p w:rsidR="0049004E" w:rsidRPr="00C5220A" w:rsidRDefault="0049004E" w:rsidP="0049004E">
      <w:pPr>
        <w:pStyle w:val="Tekstpodstawowy"/>
        <w:tabs>
          <w:tab w:val="left" w:pos="1427"/>
        </w:tabs>
        <w:spacing w:after="0"/>
        <w:ind w:left="1224"/>
      </w:pPr>
    </w:p>
    <w:p w:rsidR="0049004E" w:rsidRPr="00B7767F" w:rsidRDefault="0049004E" w:rsidP="0049004E">
      <w:pPr>
        <w:numPr>
          <w:ilvl w:val="1"/>
          <w:numId w:val="10"/>
        </w:numPr>
        <w:spacing w:line="360" w:lineRule="auto"/>
        <w:jc w:val="both"/>
      </w:pPr>
      <w:r>
        <w:rPr>
          <w:b/>
        </w:rPr>
        <w:t>P</w:t>
      </w:r>
      <w:r w:rsidRPr="00B7767F">
        <w:rPr>
          <w:b/>
        </w:rPr>
        <w:t>rzerw kawowych</w:t>
      </w:r>
      <w:r>
        <w:rPr>
          <w:b/>
        </w:rPr>
        <w:t xml:space="preserve">, </w:t>
      </w:r>
      <w:r w:rsidRPr="003F2693">
        <w:t>składających się z:</w:t>
      </w:r>
    </w:p>
    <w:p w:rsidR="0049004E" w:rsidRDefault="0049004E" w:rsidP="0049004E">
      <w:pPr>
        <w:pStyle w:val="Tekstpodstawowy"/>
        <w:tabs>
          <w:tab w:val="left" w:pos="1427"/>
        </w:tabs>
        <w:spacing w:after="0"/>
        <w:ind w:left="360"/>
      </w:pPr>
      <w:r w:rsidRPr="004F2117">
        <w:t xml:space="preserve">Przerwa kawowa: świeżo parzona kawa,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</w:t>
      </w:r>
      <w:proofErr w:type="spellStart"/>
      <w:r>
        <w:t>earl</w:t>
      </w:r>
      <w:proofErr w:type="spellEnd"/>
      <w:r>
        <w:t xml:space="preserve"> Grey, zielona, owoce leśne, mięta)</w:t>
      </w:r>
      <w:r w:rsidRPr="004F2117">
        <w:t xml:space="preserve">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49004E" w:rsidRPr="004F2117" w:rsidRDefault="0049004E" w:rsidP="0049004E">
      <w:pPr>
        <w:pStyle w:val="Tekstpodstawowy"/>
        <w:tabs>
          <w:tab w:val="left" w:pos="1427"/>
        </w:tabs>
        <w:spacing w:after="0"/>
        <w:ind w:left="360"/>
      </w:pPr>
    </w:p>
    <w:p w:rsidR="0049004E" w:rsidRPr="008E100F" w:rsidRDefault="0049004E" w:rsidP="0049004E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49004E" w:rsidRPr="00B7767F" w:rsidRDefault="0049004E" w:rsidP="0049004E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>
        <w:t>ków oraz dbałości o czystość i porządek na stołach.</w:t>
      </w:r>
    </w:p>
    <w:p w:rsidR="0049004E" w:rsidRPr="00B7767F" w:rsidRDefault="0049004E" w:rsidP="0049004E">
      <w:pPr>
        <w:spacing w:line="360" w:lineRule="auto"/>
        <w:jc w:val="both"/>
      </w:pPr>
      <w:r w:rsidRPr="00B7767F">
        <w:rPr>
          <w:b/>
        </w:rPr>
        <w:lastRenderedPageBreak/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49004E" w:rsidRPr="00B7767F" w:rsidRDefault="0049004E" w:rsidP="0049004E">
      <w:pPr>
        <w:spacing w:line="360" w:lineRule="auto"/>
        <w:jc w:val="both"/>
      </w:pPr>
      <w:r w:rsidRPr="00B7767F">
        <w:t xml:space="preserve">Organizator zastrzega, aby  zarówno posiłki jak i przerwy kawowe były serwowane </w:t>
      </w:r>
      <w:r w:rsidRPr="00B7767F">
        <w:br/>
        <w:t>w pomieszczeniu zarezerwowanym wyłącznie dla uczestników szkolenia lub w pomieszczeniu z wyraźnie wyodrębnionym obszarem konsumpcyjnym dla uczestników szkolenia.</w:t>
      </w:r>
    </w:p>
    <w:p w:rsidR="0049004E" w:rsidRPr="00B7767F" w:rsidRDefault="0049004E" w:rsidP="0049004E">
      <w:pPr>
        <w:spacing w:line="360" w:lineRule="auto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</w:t>
      </w:r>
      <w:proofErr w:type="spellStart"/>
      <w:r>
        <w:rPr>
          <w:b/>
        </w:rPr>
        <w:t>halal</w:t>
      </w:r>
      <w:proofErr w:type="spellEnd"/>
      <w:r>
        <w:rPr>
          <w:b/>
        </w:rPr>
        <w:t>, koszerna)</w:t>
      </w:r>
      <w:r w:rsidRPr="00B7767F">
        <w:rPr>
          <w:b/>
        </w:rPr>
        <w:t>.</w:t>
      </w:r>
    </w:p>
    <w:p w:rsidR="0049004E" w:rsidRPr="00B7767F" w:rsidRDefault="0049004E" w:rsidP="0049004E">
      <w:pPr>
        <w:spacing w:line="360" w:lineRule="auto"/>
        <w:jc w:val="both"/>
        <w:rPr>
          <w:u w:val="single"/>
        </w:rPr>
      </w:pPr>
    </w:p>
    <w:p w:rsidR="0049004E" w:rsidRPr="00B7767F" w:rsidRDefault="0049004E" w:rsidP="0049004E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49004E" w:rsidRDefault="0049004E" w:rsidP="0049004E"/>
    <w:p w:rsidR="0049004E" w:rsidRPr="004F2117" w:rsidRDefault="0049004E" w:rsidP="0049004E">
      <w:pPr>
        <w:numPr>
          <w:ilvl w:val="0"/>
          <w:numId w:val="14"/>
        </w:numPr>
        <w:jc w:val="both"/>
      </w:pPr>
      <w:r w:rsidRPr="004F2117">
        <w:t xml:space="preserve">W razie potrzeby Wykonawca zapewni bezpieczne </w:t>
      </w:r>
      <w:r w:rsidRPr="004F2117">
        <w:rPr>
          <w:b/>
        </w:rPr>
        <w:t>przechowywanie pomiędzy szkoleniami materiałów</w:t>
      </w:r>
      <w:r w:rsidRPr="004F2117">
        <w:t xml:space="preserve"> i publika</w:t>
      </w:r>
      <w:r>
        <w:t>cji należących do Zamawiającego.</w:t>
      </w:r>
    </w:p>
    <w:p w:rsidR="0049004E" w:rsidRPr="00213349" w:rsidRDefault="0049004E" w:rsidP="0049004E">
      <w:pPr>
        <w:numPr>
          <w:ilvl w:val="0"/>
          <w:numId w:val="14"/>
        </w:numPr>
        <w:jc w:val="both"/>
      </w:pPr>
      <w:r w:rsidRPr="004F2117">
        <w:t xml:space="preserve">W razie potrzeby Wykonawca udostępni osobom prowadzącym szkolenie </w:t>
      </w:r>
      <w:r w:rsidRPr="004F2117">
        <w:rPr>
          <w:b/>
        </w:rPr>
        <w:t>kopiarki xero oraz komputer z dostępem do drukarki i Internetu</w:t>
      </w:r>
      <w:r>
        <w:rPr>
          <w:b/>
        </w:rPr>
        <w:t>.</w:t>
      </w:r>
    </w:p>
    <w:p w:rsidR="00213349" w:rsidRDefault="00213349" w:rsidP="00213349">
      <w:pPr>
        <w:pStyle w:val="Akapitzlist"/>
        <w:numPr>
          <w:ilvl w:val="0"/>
          <w:numId w:val="14"/>
        </w:numPr>
        <w:jc w:val="both"/>
      </w:pPr>
      <w:r>
        <w:t>Zamawiający może wymagać a Wykonawca zapewni zorganizowanie dodatkowych atrakcji, typu: wyjście do teatru, muzeum lub innej instytucji o charakterze kulturalno-oświatowej w granicach administracyjnych miasta Torunia.</w:t>
      </w:r>
    </w:p>
    <w:p w:rsidR="00D848FD" w:rsidRDefault="00D848FD" w:rsidP="001E707D">
      <w:pPr>
        <w:ind w:left="720"/>
        <w:jc w:val="both"/>
      </w:pPr>
    </w:p>
    <w:sectPr w:rsidR="00D848FD" w:rsidSect="004900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C0" w:rsidRDefault="000C45C0" w:rsidP="0049004E">
      <w:r>
        <w:separator/>
      </w:r>
    </w:p>
  </w:endnote>
  <w:endnote w:type="continuationSeparator" w:id="0">
    <w:p w:rsidR="000C45C0" w:rsidRDefault="000C45C0" w:rsidP="0049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C0" w:rsidRDefault="000C45C0" w:rsidP="0049004E">
      <w:r>
        <w:separator/>
      </w:r>
    </w:p>
  </w:footnote>
  <w:footnote w:type="continuationSeparator" w:id="0">
    <w:p w:rsidR="000C45C0" w:rsidRDefault="000C45C0" w:rsidP="0049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9F272A"/>
    <w:multiLevelType w:val="hybridMultilevel"/>
    <w:tmpl w:val="67F484A4"/>
    <w:lvl w:ilvl="0" w:tplc="10A4BCFC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5AB464B0"/>
    <w:multiLevelType w:val="hybridMultilevel"/>
    <w:tmpl w:val="41666F6C"/>
    <w:lvl w:ilvl="0" w:tplc="F41C74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B67"/>
    <w:multiLevelType w:val="multilevel"/>
    <w:tmpl w:val="2474BD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4E"/>
    <w:rsid w:val="000573D5"/>
    <w:rsid w:val="000A3019"/>
    <w:rsid w:val="000C45C0"/>
    <w:rsid w:val="00167F31"/>
    <w:rsid w:val="001E707D"/>
    <w:rsid w:val="00213349"/>
    <w:rsid w:val="002924C8"/>
    <w:rsid w:val="002A0039"/>
    <w:rsid w:val="002A3761"/>
    <w:rsid w:val="003E12C7"/>
    <w:rsid w:val="004106F8"/>
    <w:rsid w:val="00422473"/>
    <w:rsid w:val="0049004E"/>
    <w:rsid w:val="004D0EE9"/>
    <w:rsid w:val="00506A00"/>
    <w:rsid w:val="005149B3"/>
    <w:rsid w:val="006164E6"/>
    <w:rsid w:val="00746EEF"/>
    <w:rsid w:val="00761675"/>
    <w:rsid w:val="007E325E"/>
    <w:rsid w:val="007F1F5E"/>
    <w:rsid w:val="00846B7C"/>
    <w:rsid w:val="009B1E6F"/>
    <w:rsid w:val="00A45001"/>
    <w:rsid w:val="00AF5A79"/>
    <w:rsid w:val="00B22E44"/>
    <w:rsid w:val="00C65B65"/>
    <w:rsid w:val="00C75E49"/>
    <w:rsid w:val="00CA254F"/>
    <w:rsid w:val="00D23FA3"/>
    <w:rsid w:val="00D848FD"/>
    <w:rsid w:val="00DD1064"/>
    <w:rsid w:val="00DE6D30"/>
    <w:rsid w:val="00E5437A"/>
    <w:rsid w:val="00E72632"/>
    <w:rsid w:val="00E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24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24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24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24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24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24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24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24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2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aliases w:val="Glosariusz"/>
    <w:basedOn w:val="Normalny"/>
    <w:next w:val="Normalny"/>
    <w:link w:val="TytuZnak"/>
    <w:uiPriority w:val="10"/>
    <w:qFormat/>
    <w:rsid w:val="002924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Glosariusz Znak"/>
    <w:basedOn w:val="Domylnaczcionkaakapitu"/>
    <w:link w:val="Tytu"/>
    <w:uiPriority w:val="10"/>
    <w:rsid w:val="002924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924C8"/>
    <w:rPr>
      <w:i/>
      <w:iCs/>
    </w:rPr>
  </w:style>
  <w:style w:type="paragraph" w:styleId="Akapitzlist">
    <w:name w:val="List Paragraph"/>
    <w:basedOn w:val="Normalny"/>
    <w:uiPriority w:val="34"/>
    <w:qFormat/>
    <w:rsid w:val="002924C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24C8"/>
    <w:pPr>
      <w:outlineLvl w:val="9"/>
    </w:pPr>
  </w:style>
  <w:style w:type="paragraph" w:customStyle="1" w:styleId="Tekst">
    <w:name w:val="Tekst"/>
    <w:basedOn w:val="Normalny"/>
    <w:rsid w:val="002924C8"/>
    <w:pPr>
      <w:spacing w:line="360" w:lineRule="auto"/>
      <w:ind w:firstLine="567"/>
      <w:jc w:val="both"/>
    </w:pPr>
    <w:rPr>
      <w:rFonts w:ascii="Verdana" w:hAnsi="Verdana"/>
      <w:snapToGrid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490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04E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49004E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90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00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201DF-2443-46C2-82CC-F3F5D65A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1586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gkucharyk</dc:creator>
  <cp:lastModifiedBy>smalinowska</cp:lastModifiedBy>
  <cp:revision>22</cp:revision>
  <cp:lastPrinted>2014-11-20T10:53:00Z</cp:lastPrinted>
  <dcterms:created xsi:type="dcterms:W3CDTF">2014-11-04T12:54:00Z</dcterms:created>
  <dcterms:modified xsi:type="dcterms:W3CDTF">2014-11-25T09:48:00Z</dcterms:modified>
</cp:coreProperties>
</file>