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676" w:rsidRPr="00842892" w:rsidRDefault="00210676" w:rsidP="00AB6012">
      <w:pPr>
        <w:spacing w:line="360" w:lineRule="auto"/>
        <w:jc w:val="center"/>
        <w:rPr>
          <w:b/>
          <w:bCs/>
          <w:sz w:val="22"/>
          <w:szCs w:val="22"/>
        </w:rPr>
      </w:pPr>
      <w:r w:rsidRPr="00842892">
        <w:rPr>
          <w:b/>
          <w:bCs/>
          <w:sz w:val="22"/>
          <w:szCs w:val="22"/>
        </w:rPr>
        <w:t>Szczegółowe zasady współpracy</w:t>
      </w:r>
    </w:p>
    <w:p w:rsidR="00210676" w:rsidRPr="00842892" w:rsidRDefault="00210676" w:rsidP="00AB6012">
      <w:pPr>
        <w:spacing w:line="360" w:lineRule="auto"/>
        <w:jc w:val="center"/>
        <w:rPr>
          <w:b/>
          <w:bCs/>
          <w:sz w:val="22"/>
          <w:szCs w:val="22"/>
        </w:rPr>
      </w:pPr>
      <w:r w:rsidRPr="00842892">
        <w:rPr>
          <w:b/>
          <w:bCs/>
          <w:sz w:val="22"/>
          <w:szCs w:val="22"/>
        </w:rPr>
        <w:t xml:space="preserve">Centrum Współpracy SALTO dla krajów Europy Wschodniej i Kaukazu (SALTO EECA) </w:t>
      </w:r>
      <w:r w:rsidRPr="00842892">
        <w:rPr>
          <w:b/>
          <w:bCs/>
          <w:sz w:val="22"/>
          <w:szCs w:val="22"/>
        </w:rPr>
        <w:br/>
        <w:t xml:space="preserve">z </w:t>
      </w:r>
      <w:proofErr w:type="spellStart"/>
      <w:r w:rsidRPr="00842892">
        <w:rPr>
          <w:b/>
          <w:bCs/>
          <w:sz w:val="22"/>
          <w:szCs w:val="22"/>
        </w:rPr>
        <w:t>akredytorami</w:t>
      </w:r>
      <w:proofErr w:type="spellEnd"/>
      <w:r w:rsidRPr="00842892">
        <w:rPr>
          <w:b/>
          <w:bCs/>
          <w:sz w:val="22"/>
          <w:szCs w:val="22"/>
        </w:rPr>
        <w:t xml:space="preserve"> zewnętrznymi </w:t>
      </w:r>
    </w:p>
    <w:p w:rsidR="00210676" w:rsidRPr="00842892" w:rsidRDefault="00210676" w:rsidP="00AB6012">
      <w:pPr>
        <w:spacing w:line="360" w:lineRule="auto"/>
        <w:jc w:val="both"/>
        <w:rPr>
          <w:b/>
          <w:bCs/>
          <w:sz w:val="22"/>
          <w:szCs w:val="22"/>
        </w:rPr>
      </w:pPr>
    </w:p>
    <w:p w:rsidR="00210676" w:rsidRPr="00842892" w:rsidRDefault="00210676" w:rsidP="00A53157">
      <w:pPr>
        <w:pStyle w:val="Tekstpodstawowy"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842892">
        <w:rPr>
          <w:rFonts w:ascii="Times New Roman" w:hAnsi="Times New Roman" w:cs="Times New Roman"/>
          <w:sz w:val="22"/>
          <w:szCs w:val="22"/>
        </w:rPr>
        <w:t xml:space="preserve">Proces akredytacji prowadzony przez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akredytorów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zewnętrznych jest obligatoryjną częścią procedury przyznawania organizacjom statusu akredytowanych organizacji Wolontariatu Europejskiego. Ma on na celu poznanie przez SALTO EECA działalności organizacji oraz oczekiwań, wyobrażeń i pomysłu na projekt EVS oraz skonfrontowanie ich z ideą Wolontariatu Europejskiego oraz szerzej Programu „Er</w:t>
      </w:r>
      <w:r w:rsidRPr="00842892">
        <w:rPr>
          <w:rFonts w:ascii="Times New Roman" w:hAnsi="Times New Roman" w:cs="Times New Roman"/>
          <w:sz w:val="22"/>
          <w:szCs w:val="22"/>
        </w:rPr>
        <w:t>a</w:t>
      </w:r>
      <w:r w:rsidRPr="00842892">
        <w:rPr>
          <w:rFonts w:ascii="Times New Roman" w:hAnsi="Times New Roman" w:cs="Times New Roman"/>
          <w:sz w:val="22"/>
          <w:szCs w:val="22"/>
        </w:rPr>
        <w:t xml:space="preserve">smus+”. SALTO EECA wskazuje odpowiedzialnych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akredytorów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zewnętrznych w celu wykonania czynności związanych z akredytacją. Za koordynację prac zespołu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akredytorów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zewnętrznych odp</w:t>
      </w:r>
      <w:r w:rsidRPr="00842892">
        <w:rPr>
          <w:rFonts w:ascii="Times New Roman" w:hAnsi="Times New Roman" w:cs="Times New Roman"/>
          <w:sz w:val="22"/>
          <w:szCs w:val="22"/>
        </w:rPr>
        <w:t>o</w:t>
      </w:r>
      <w:r w:rsidRPr="00842892">
        <w:rPr>
          <w:rFonts w:ascii="Times New Roman" w:hAnsi="Times New Roman" w:cs="Times New Roman"/>
          <w:sz w:val="22"/>
          <w:szCs w:val="22"/>
        </w:rPr>
        <w:t>wiada pracownik Centrum Współpracy.</w:t>
      </w: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</w:p>
    <w:p w:rsidR="00210676" w:rsidRPr="00842892" w:rsidRDefault="00210676" w:rsidP="00AB6012">
      <w:pPr>
        <w:pStyle w:val="Nagwek3"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842892">
        <w:rPr>
          <w:rFonts w:ascii="Times New Roman" w:hAnsi="Times New Roman" w:cs="Times New Roman"/>
          <w:sz w:val="22"/>
          <w:szCs w:val="22"/>
        </w:rPr>
        <w:t>Umowa:</w:t>
      </w:r>
    </w:p>
    <w:p w:rsidR="00210676" w:rsidRPr="00842892" w:rsidRDefault="00210676" w:rsidP="003C47B1">
      <w:pPr>
        <w:pStyle w:val="Tekstpodstawowy"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842892">
        <w:rPr>
          <w:rFonts w:ascii="Times New Roman" w:hAnsi="Times New Roman" w:cs="Times New Roman"/>
          <w:sz w:val="22"/>
          <w:szCs w:val="22"/>
        </w:rPr>
        <w:t xml:space="preserve">Każdy z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akredytorów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prowadzi działania związane z akredytacją powierzone mu przez SALTO EECA w oparciu o zawartą z Fundacją Rozwoju Systemu Edukacji umowę. Istnieje możliwość wcześniejszego rozwiązania umowy przez każdą ze stron z min. 2 miesięcznym wypowiedzeniem na piśmie. SALTO EECA może rozwiązać umowę w trybie natychmiastowym, jeżeli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nie będzie wywiązywał się z przyjętych na siebie obowiązków wynikających z niniejszych zasad.</w:t>
      </w:r>
    </w:p>
    <w:p w:rsidR="00210676" w:rsidRPr="00842892" w:rsidRDefault="00210676" w:rsidP="00A53157">
      <w:pPr>
        <w:spacing w:after="60" w:line="360" w:lineRule="auto"/>
        <w:jc w:val="both"/>
        <w:rPr>
          <w:b/>
          <w:sz w:val="22"/>
          <w:szCs w:val="22"/>
          <w:u w:val="single"/>
        </w:rPr>
      </w:pPr>
    </w:p>
    <w:p w:rsidR="00210676" w:rsidRPr="00842892" w:rsidRDefault="00210676" w:rsidP="00A53157">
      <w:pPr>
        <w:spacing w:after="60" w:line="360" w:lineRule="auto"/>
        <w:jc w:val="both"/>
        <w:rPr>
          <w:b/>
          <w:sz w:val="22"/>
          <w:szCs w:val="22"/>
          <w:u w:val="single"/>
        </w:rPr>
      </w:pPr>
      <w:r w:rsidRPr="00842892">
        <w:rPr>
          <w:b/>
          <w:sz w:val="22"/>
          <w:szCs w:val="22"/>
          <w:u w:val="single"/>
        </w:rPr>
        <w:t>Konflikt interesów:</w:t>
      </w:r>
    </w:p>
    <w:p w:rsidR="00210676" w:rsidRPr="00842892" w:rsidRDefault="00210676" w:rsidP="00A53157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>W przypadku wystąpienia konfliktu interesu, ekspert przed przystąpieniem do oceny/kontroli Wniosku na Akredytacje składa odpowiednie oświadczenie. Konflikt interesów mógłby mieć wpływ na bezstro</w:t>
      </w:r>
      <w:r w:rsidRPr="00842892">
        <w:rPr>
          <w:sz w:val="22"/>
          <w:szCs w:val="22"/>
        </w:rPr>
        <w:t>n</w:t>
      </w:r>
      <w:r w:rsidRPr="00842892">
        <w:rPr>
          <w:sz w:val="22"/>
          <w:szCs w:val="22"/>
        </w:rPr>
        <w:t>ną i obiektywną realizację zawartej z Fundacją Rozwoju Systemu Edukacji umowy. Rzeczony konflikt interesów mógłby wystąpić w szczególności w wyniku interesu ekonomicznego, powiązań politycznych lub narodowych, powodów rodzinnych lub emocjonalnych bądź dowolnych innych wspólnych inter</w:t>
      </w:r>
      <w:r w:rsidRPr="00842892">
        <w:rPr>
          <w:sz w:val="22"/>
          <w:szCs w:val="22"/>
        </w:rPr>
        <w:t>e</w:t>
      </w:r>
      <w:r w:rsidRPr="00842892">
        <w:rPr>
          <w:sz w:val="22"/>
          <w:szCs w:val="22"/>
        </w:rPr>
        <w:t xml:space="preserve">sów. </w:t>
      </w:r>
    </w:p>
    <w:p w:rsidR="00210676" w:rsidRPr="00842892" w:rsidRDefault="00210676" w:rsidP="00A53157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  <w:r w:rsidRPr="00842892">
        <w:rPr>
          <w:b/>
          <w:bCs/>
          <w:sz w:val="22"/>
          <w:szCs w:val="22"/>
          <w:u w:val="single"/>
        </w:rPr>
        <w:t>Współpraca:</w:t>
      </w:r>
    </w:p>
    <w:p w:rsidR="00210676" w:rsidRPr="00842892" w:rsidRDefault="00210676" w:rsidP="00AB6012">
      <w:pPr>
        <w:tabs>
          <w:tab w:val="left" w:pos="4320"/>
        </w:tabs>
        <w:spacing w:after="60" w:line="360" w:lineRule="auto"/>
        <w:jc w:val="both"/>
        <w:rPr>
          <w:sz w:val="22"/>
          <w:szCs w:val="22"/>
        </w:rPr>
      </w:pPr>
    </w:p>
    <w:p w:rsidR="00210676" w:rsidRPr="00842892" w:rsidRDefault="00210676" w:rsidP="00AB6012">
      <w:pPr>
        <w:tabs>
          <w:tab w:val="left" w:pos="4320"/>
        </w:tabs>
        <w:spacing w:after="60" w:line="360" w:lineRule="auto"/>
        <w:jc w:val="both"/>
        <w:rPr>
          <w:b/>
          <w:bCs/>
          <w:sz w:val="22"/>
          <w:szCs w:val="22"/>
        </w:rPr>
      </w:pPr>
      <w:r w:rsidRPr="00842892">
        <w:rPr>
          <w:sz w:val="22"/>
          <w:szCs w:val="22"/>
        </w:rPr>
        <w:t xml:space="preserve">SALTO EECA może zleca </w:t>
      </w:r>
      <w:proofErr w:type="spellStart"/>
      <w:r w:rsidRPr="00842892">
        <w:rPr>
          <w:sz w:val="22"/>
          <w:szCs w:val="22"/>
        </w:rPr>
        <w:t>akredytorowi</w:t>
      </w:r>
      <w:proofErr w:type="spellEnd"/>
      <w:r w:rsidRPr="00842892">
        <w:rPr>
          <w:sz w:val="22"/>
          <w:szCs w:val="22"/>
        </w:rPr>
        <w:t xml:space="preserve"> przeprowadzenie </w:t>
      </w:r>
      <w:r w:rsidRPr="00842892">
        <w:rPr>
          <w:bCs/>
          <w:sz w:val="22"/>
          <w:szCs w:val="22"/>
        </w:rPr>
        <w:t xml:space="preserve">akredytacji organizacji ubiegającej się o status akredytowanej organizacji goszczącej, wysyłającej lub/i koordynującej w ramach Wolontariatu Europejskiego.  W celu przeprowadzenia akredytacji SALTO EECA przekazuje </w:t>
      </w:r>
      <w:proofErr w:type="spellStart"/>
      <w:r w:rsidRPr="00842892">
        <w:rPr>
          <w:bCs/>
          <w:sz w:val="22"/>
          <w:szCs w:val="22"/>
        </w:rPr>
        <w:t>akredytorowi</w:t>
      </w:r>
      <w:proofErr w:type="spellEnd"/>
      <w:r w:rsidRPr="00842892">
        <w:rPr>
          <w:bCs/>
          <w:sz w:val="22"/>
          <w:szCs w:val="22"/>
        </w:rPr>
        <w:t xml:space="preserve"> Wniosek o Akredytację złożony przez organizację. Zadania </w:t>
      </w:r>
      <w:proofErr w:type="spellStart"/>
      <w:r w:rsidRPr="00842892">
        <w:rPr>
          <w:bCs/>
          <w:sz w:val="22"/>
          <w:szCs w:val="22"/>
        </w:rPr>
        <w:t>akredytora</w:t>
      </w:r>
      <w:proofErr w:type="spellEnd"/>
      <w:r w:rsidRPr="00842892">
        <w:rPr>
          <w:bCs/>
          <w:sz w:val="22"/>
          <w:szCs w:val="22"/>
        </w:rPr>
        <w:t xml:space="preserve"> obejmują:</w:t>
      </w:r>
    </w:p>
    <w:p w:rsidR="00210676" w:rsidRPr="00842892" w:rsidRDefault="00210676" w:rsidP="008A5B6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 w:rsidRPr="00842892">
        <w:rPr>
          <w:rFonts w:ascii="Times New Roman" w:hAnsi="Times New Roman"/>
        </w:rPr>
        <w:t>Weryfikację merytoryczną Wniosku o Akredytację.</w:t>
      </w:r>
    </w:p>
    <w:p w:rsidR="00210676" w:rsidRPr="00842892" w:rsidRDefault="00210676" w:rsidP="008A5B6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 w:rsidRPr="00842892">
        <w:rPr>
          <w:rFonts w:ascii="Times New Roman" w:hAnsi="Times New Roman"/>
        </w:rPr>
        <w:t>Zbadanie dostępnych źródeł informacji dotyczących działalności organizacji.</w:t>
      </w:r>
    </w:p>
    <w:p w:rsidR="00210676" w:rsidRPr="00842892" w:rsidRDefault="00210676" w:rsidP="008A5B6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 w:rsidRPr="00842892">
        <w:rPr>
          <w:rFonts w:ascii="Times New Roman" w:hAnsi="Times New Roman"/>
        </w:rPr>
        <w:lastRenderedPageBreak/>
        <w:t>Przeprowadzenie spotkania akredytacyjnego co najmniej z koordynatorem EVS w miejscu gdzie wolontariusz EVS miałby pracować.</w:t>
      </w:r>
    </w:p>
    <w:p w:rsidR="00210676" w:rsidRPr="00842892" w:rsidRDefault="00210676" w:rsidP="008A5B6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 w:rsidRPr="00842892">
        <w:rPr>
          <w:rFonts w:ascii="Times New Roman" w:hAnsi="Times New Roman"/>
        </w:rPr>
        <w:t>W razie niejasności przygotowanie listy pytań do organizacji, dzięki którym organizacja może poprawić swój Wniosek na Akredytacje.</w:t>
      </w:r>
    </w:p>
    <w:p w:rsidR="00210676" w:rsidRPr="00842892" w:rsidRDefault="00210676" w:rsidP="00EE1FD8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 w:rsidRPr="00842892">
        <w:rPr>
          <w:rFonts w:ascii="Times New Roman" w:hAnsi="Times New Roman"/>
        </w:rPr>
        <w:t xml:space="preserve">Monitorowanie oraz ostateczne zatwierdzenie zmian w treści Wniosku o Akredytację.  </w:t>
      </w:r>
    </w:p>
    <w:p w:rsidR="00210676" w:rsidRPr="00842892" w:rsidRDefault="00210676" w:rsidP="008A5B69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</w:rPr>
      </w:pPr>
      <w:r w:rsidRPr="00842892">
        <w:rPr>
          <w:rFonts w:ascii="Times New Roman" w:hAnsi="Times New Roman"/>
        </w:rPr>
        <w:t>Przygotowanie raportu z akredytacji zawierającego rekomendację dla SALTO EECA dotyczącą decyzji w sprawie przyznania statusu akredytowanej organizacji EVS</w:t>
      </w:r>
    </w:p>
    <w:p w:rsidR="00210676" w:rsidRPr="00842892" w:rsidRDefault="00210676" w:rsidP="00EE1FD8">
      <w:pPr>
        <w:spacing w:after="60" w:line="360" w:lineRule="auto"/>
        <w:jc w:val="both"/>
        <w:rPr>
          <w:sz w:val="22"/>
          <w:szCs w:val="22"/>
        </w:rPr>
      </w:pPr>
      <w:proofErr w:type="spellStart"/>
      <w:r w:rsidRPr="00842892">
        <w:rPr>
          <w:sz w:val="22"/>
          <w:szCs w:val="22"/>
        </w:rPr>
        <w:t>Akredytorzy</w:t>
      </w:r>
      <w:proofErr w:type="spellEnd"/>
      <w:r w:rsidRPr="00842892">
        <w:rPr>
          <w:sz w:val="22"/>
          <w:szCs w:val="22"/>
        </w:rPr>
        <w:t xml:space="preserve"> spotykają się ze sobą raz w roku w celu </w:t>
      </w:r>
      <w:r w:rsidRPr="00842892">
        <w:rPr>
          <w:b/>
          <w:bCs/>
          <w:sz w:val="22"/>
          <w:szCs w:val="22"/>
        </w:rPr>
        <w:t>podsumowania</w:t>
      </w:r>
      <w:r w:rsidRPr="00842892">
        <w:rPr>
          <w:b/>
          <w:sz w:val="22"/>
          <w:szCs w:val="22"/>
        </w:rPr>
        <w:t>/omówienia</w:t>
      </w:r>
      <w:r w:rsidRPr="00842892">
        <w:rPr>
          <w:sz w:val="22"/>
          <w:szCs w:val="22"/>
        </w:rPr>
        <w:t xml:space="preserve"> przeprowadzonych akredytacji, omówienia strategii akredytacji, wymiany doświadczeń oraz podnoszeniu kompetencji </w:t>
      </w:r>
      <w:proofErr w:type="spellStart"/>
      <w:r w:rsidRPr="00842892">
        <w:rPr>
          <w:sz w:val="22"/>
          <w:szCs w:val="22"/>
        </w:rPr>
        <w:t>akredytorskich</w:t>
      </w:r>
      <w:proofErr w:type="spellEnd"/>
      <w:r w:rsidRPr="00842892">
        <w:rPr>
          <w:sz w:val="22"/>
          <w:szCs w:val="22"/>
        </w:rPr>
        <w:t xml:space="preserve">. W takich spotkaniach będą brali udział pracownicy SALTO EECA. Terminy spotkań planowane są na bieżąco. W miarę potrzeb i możliwości, SALTO EECA wspiera </w:t>
      </w:r>
      <w:r w:rsidRPr="00842892">
        <w:rPr>
          <w:b/>
          <w:sz w:val="22"/>
          <w:szCs w:val="22"/>
        </w:rPr>
        <w:t>staże oraz</w:t>
      </w:r>
      <w:r w:rsidRPr="00842892">
        <w:rPr>
          <w:sz w:val="22"/>
          <w:szCs w:val="22"/>
        </w:rPr>
        <w:t xml:space="preserve"> </w:t>
      </w:r>
      <w:r w:rsidRPr="00842892">
        <w:rPr>
          <w:b/>
          <w:bCs/>
          <w:sz w:val="22"/>
          <w:szCs w:val="22"/>
        </w:rPr>
        <w:t>szkolenia podnoszące kwalifikacje</w:t>
      </w:r>
      <w:r w:rsidRPr="00842892">
        <w:rPr>
          <w:sz w:val="22"/>
          <w:szCs w:val="22"/>
        </w:rPr>
        <w:t xml:space="preserve"> </w:t>
      </w:r>
      <w:proofErr w:type="spellStart"/>
      <w:r w:rsidRPr="00842892">
        <w:rPr>
          <w:sz w:val="22"/>
          <w:szCs w:val="22"/>
        </w:rPr>
        <w:t>akredytorów</w:t>
      </w:r>
      <w:proofErr w:type="spellEnd"/>
      <w:r w:rsidRPr="00842892">
        <w:rPr>
          <w:sz w:val="22"/>
          <w:szCs w:val="22"/>
        </w:rPr>
        <w:t xml:space="preserve"> w zakresie kompetencji potrzebnych w procesie akredytacji. SALTO EECA wspiera dążenia </w:t>
      </w:r>
      <w:proofErr w:type="spellStart"/>
      <w:r w:rsidRPr="00842892">
        <w:rPr>
          <w:sz w:val="22"/>
          <w:szCs w:val="22"/>
        </w:rPr>
        <w:t>akredytorów</w:t>
      </w:r>
      <w:proofErr w:type="spellEnd"/>
      <w:r w:rsidRPr="00842892">
        <w:rPr>
          <w:sz w:val="22"/>
          <w:szCs w:val="22"/>
        </w:rPr>
        <w:t xml:space="preserve"> do tworzenia sieci</w:t>
      </w:r>
      <w:r w:rsidRPr="00842892">
        <w:rPr>
          <w:b/>
          <w:bCs/>
          <w:sz w:val="22"/>
          <w:szCs w:val="22"/>
        </w:rPr>
        <w:t xml:space="preserve"> współpracy z </w:t>
      </w:r>
      <w:proofErr w:type="spellStart"/>
      <w:r w:rsidRPr="00842892">
        <w:rPr>
          <w:b/>
          <w:bCs/>
          <w:sz w:val="22"/>
          <w:szCs w:val="22"/>
        </w:rPr>
        <w:t>akredytorami</w:t>
      </w:r>
      <w:proofErr w:type="spellEnd"/>
      <w:r w:rsidRPr="00842892">
        <w:rPr>
          <w:b/>
          <w:bCs/>
          <w:sz w:val="22"/>
          <w:szCs w:val="22"/>
        </w:rPr>
        <w:t xml:space="preserve"> z innych krajów</w:t>
      </w:r>
      <w:r w:rsidRPr="00842892">
        <w:rPr>
          <w:sz w:val="22"/>
          <w:szCs w:val="22"/>
        </w:rPr>
        <w:t xml:space="preserve"> programu (np. poprzez umożliwienie udziału w międzynarodowych spotkaniach i szkoleniach </w:t>
      </w:r>
      <w:proofErr w:type="spellStart"/>
      <w:r w:rsidRPr="00842892">
        <w:rPr>
          <w:sz w:val="22"/>
          <w:szCs w:val="22"/>
        </w:rPr>
        <w:t>akredytorów</w:t>
      </w:r>
      <w:proofErr w:type="spellEnd"/>
      <w:r w:rsidRPr="00842892">
        <w:rPr>
          <w:sz w:val="22"/>
          <w:szCs w:val="22"/>
        </w:rPr>
        <w:t>).</w:t>
      </w: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</w:p>
    <w:p w:rsidR="00210676" w:rsidRPr="00842892" w:rsidRDefault="00210676" w:rsidP="00AB6012">
      <w:pPr>
        <w:spacing w:after="60" w:line="360" w:lineRule="auto"/>
        <w:jc w:val="both"/>
        <w:rPr>
          <w:b/>
          <w:bCs/>
          <w:sz w:val="22"/>
          <w:szCs w:val="22"/>
          <w:u w:val="single"/>
        </w:rPr>
      </w:pPr>
      <w:r w:rsidRPr="00842892">
        <w:rPr>
          <w:b/>
          <w:bCs/>
          <w:sz w:val="22"/>
          <w:szCs w:val="22"/>
          <w:u w:val="single"/>
        </w:rPr>
        <w:t>Wynagrodzenie:</w:t>
      </w:r>
    </w:p>
    <w:p w:rsidR="00210676" w:rsidRPr="00842892" w:rsidRDefault="00842892" w:rsidP="00AB6012">
      <w:pPr>
        <w:spacing w:after="6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Akredytor</w:t>
      </w:r>
      <w:proofErr w:type="spellEnd"/>
      <w:r>
        <w:rPr>
          <w:sz w:val="22"/>
          <w:szCs w:val="22"/>
        </w:rPr>
        <w:t xml:space="preserve"> otrzymuje wynagrodzenie w zależności od liczby wykonanych akredytacji: stawka wynosi 100 EUR za jedną akredytowaną organizację.</w:t>
      </w:r>
    </w:p>
    <w:p w:rsidR="00210676" w:rsidRPr="00842892" w:rsidRDefault="00210676" w:rsidP="00AB6012">
      <w:pPr>
        <w:spacing w:after="60" w:line="360" w:lineRule="auto"/>
        <w:jc w:val="both"/>
        <w:rPr>
          <w:b/>
          <w:bCs/>
          <w:sz w:val="22"/>
          <w:szCs w:val="22"/>
          <w:u w:val="single"/>
        </w:rPr>
      </w:pPr>
    </w:p>
    <w:p w:rsidR="00210676" w:rsidRPr="00842892" w:rsidRDefault="00210676" w:rsidP="00AB6012">
      <w:pPr>
        <w:spacing w:after="60" w:line="360" w:lineRule="auto"/>
        <w:jc w:val="both"/>
        <w:rPr>
          <w:b/>
          <w:bCs/>
          <w:sz w:val="22"/>
          <w:szCs w:val="22"/>
          <w:u w:val="single"/>
        </w:rPr>
      </w:pPr>
      <w:r w:rsidRPr="00842892">
        <w:rPr>
          <w:b/>
          <w:bCs/>
          <w:sz w:val="22"/>
          <w:szCs w:val="22"/>
          <w:u w:val="single"/>
        </w:rPr>
        <w:t>Koszty:</w:t>
      </w: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>SALTO EECA zobowiązuje się do zwrotu kosztów związanych z wykonaniem zadania, nie stanowi</w:t>
      </w:r>
      <w:r w:rsidRPr="00842892">
        <w:rPr>
          <w:sz w:val="22"/>
          <w:szCs w:val="22"/>
        </w:rPr>
        <w:t>ą</w:t>
      </w:r>
      <w:r w:rsidRPr="00842892">
        <w:rPr>
          <w:sz w:val="22"/>
          <w:szCs w:val="22"/>
        </w:rPr>
        <w:t>cych wynagrodzenia. Koszty podlegające zwrotowi:</w:t>
      </w:r>
    </w:p>
    <w:p w:rsidR="00210676" w:rsidRPr="00842892" w:rsidRDefault="00210676" w:rsidP="00AB6012">
      <w:pPr>
        <w:spacing w:before="200" w:after="60" w:line="360" w:lineRule="auto"/>
        <w:jc w:val="both"/>
        <w:rPr>
          <w:sz w:val="22"/>
          <w:szCs w:val="22"/>
          <w:u w:val="single"/>
        </w:rPr>
      </w:pPr>
      <w:r w:rsidRPr="00842892">
        <w:rPr>
          <w:sz w:val="22"/>
          <w:szCs w:val="22"/>
          <w:u w:val="single"/>
        </w:rPr>
        <w:t>Koszty podróży:</w:t>
      </w:r>
    </w:p>
    <w:p w:rsidR="00210676" w:rsidRPr="00842892" w:rsidRDefault="00842892" w:rsidP="00AB6012">
      <w:pPr>
        <w:pStyle w:val="Tekstpodstawowy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842892">
        <w:rPr>
          <w:rFonts w:ascii="Times New Roman" w:hAnsi="Times New Roman" w:cs="Times New Roman"/>
          <w:sz w:val="22"/>
          <w:szCs w:val="22"/>
          <w:highlight w:val="yellow"/>
        </w:rPr>
        <w:t>SALTO EECA</w:t>
      </w:r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 pokrywa 100% kosztów podróży na trasie związanej z prowadzonymi przez </w:t>
      </w:r>
      <w:proofErr w:type="spellStart"/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>akred</w:t>
      </w:r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>y</w:t>
      </w:r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>tora</w:t>
      </w:r>
      <w:proofErr w:type="spellEnd"/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 spotkaniami. </w:t>
      </w:r>
      <w:proofErr w:type="spellStart"/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>Akredytor</w:t>
      </w:r>
      <w:proofErr w:type="spellEnd"/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 ma prawo wyboru środka transportu między pociągiem (2 kl.) i autobusem</w:t>
      </w:r>
      <w:r w:rsidR="009A2E5E" w:rsidRPr="00842892">
        <w:rPr>
          <w:rFonts w:ascii="Times New Roman" w:hAnsi="Times New Roman" w:cs="Times New Roman"/>
          <w:sz w:val="22"/>
          <w:szCs w:val="22"/>
          <w:highlight w:val="yellow"/>
        </w:rPr>
        <w:t>, w wyjątkowych sytuacjach – także samochodem</w:t>
      </w:r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. W uzasadnionych przypadkach SALTO EECA może również zakupić </w:t>
      </w:r>
      <w:proofErr w:type="spellStart"/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>akredytorowi</w:t>
      </w:r>
      <w:proofErr w:type="spellEnd"/>
      <w:r w:rsidR="00210676"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 bilet lotniczy.</w:t>
      </w:r>
    </w:p>
    <w:p w:rsidR="009A2E5E" w:rsidRPr="00842892" w:rsidRDefault="009A2E5E" w:rsidP="009A2E5E">
      <w:pPr>
        <w:pStyle w:val="Tekstpodstawowy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842892">
        <w:rPr>
          <w:rFonts w:ascii="Times New Roman" w:hAnsi="Times New Roman" w:cs="Times New Roman"/>
          <w:sz w:val="22"/>
          <w:szCs w:val="22"/>
        </w:rPr>
        <w:t>Przy podróżach publicznymi środkami transportu, pełny zwrot kosztów przejazdu będzie dokonany na podstawie biletów.</w:t>
      </w:r>
    </w:p>
    <w:p w:rsidR="00210676" w:rsidRPr="00842892" w:rsidRDefault="00210676" w:rsidP="00AB6012">
      <w:pPr>
        <w:pStyle w:val="Tekstpodstawowy"/>
        <w:numPr>
          <w:ilvl w:val="0"/>
          <w:numId w:val="26"/>
        </w:numPr>
        <w:spacing w:after="120" w:line="360" w:lineRule="auto"/>
        <w:rPr>
          <w:rFonts w:ascii="Times New Roman" w:hAnsi="Times New Roman" w:cs="Times New Roman"/>
          <w:sz w:val="22"/>
          <w:szCs w:val="22"/>
          <w:highlight w:val="yellow"/>
        </w:rPr>
      </w:pPr>
      <w:r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Jeżeli </w:t>
      </w:r>
      <w:proofErr w:type="spellStart"/>
      <w:r w:rsidRPr="00842892">
        <w:rPr>
          <w:rFonts w:ascii="Times New Roman" w:hAnsi="Times New Roman" w:cs="Times New Roman"/>
          <w:sz w:val="22"/>
          <w:szCs w:val="22"/>
          <w:highlight w:val="yellow"/>
        </w:rPr>
        <w:t>akredytor</w:t>
      </w:r>
      <w:proofErr w:type="spellEnd"/>
      <w:r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 wykorzystuje prywatny samochód osobowy, zwrot kosztów podróży odbywa się na podstawie </w:t>
      </w:r>
      <w:r w:rsidR="009A2E5E" w:rsidRPr="00842892">
        <w:rPr>
          <w:rFonts w:ascii="Times New Roman" w:hAnsi="Times New Roman" w:cs="Times New Roman"/>
          <w:sz w:val="22"/>
          <w:szCs w:val="22"/>
          <w:highlight w:val="yellow"/>
        </w:rPr>
        <w:t>przedstawionych rachunków za paliwo</w:t>
      </w:r>
      <w:r w:rsidRPr="00842892">
        <w:rPr>
          <w:rFonts w:ascii="Times New Roman" w:hAnsi="Times New Roman" w:cs="Times New Roman"/>
          <w:sz w:val="22"/>
          <w:szCs w:val="22"/>
          <w:highlight w:val="yellow"/>
        </w:rPr>
        <w:t xml:space="preserve">. </w:t>
      </w:r>
    </w:p>
    <w:p w:rsidR="00210676" w:rsidRPr="00842892" w:rsidRDefault="00210676" w:rsidP="00AB6012">
      <w:pPr>
        <w:spacing w:before="200" w:after="60" w:line="360" w:lineRule="auto"/>
        <w:jc w:val="both"/>
        <w:rPr>
          <w:sz w:val="22"/>
          <w:szCs w:val="22"/>
          <w:u w:val="single"/>
        </w:rPr>
      </w:pPr>
      <w:r w:rsidRPr="00842892">
        <w:rPr>
          <w:sz w:val="22"/>
          <w:szCs w:val="22"/>
          <w:u w:val="single"/>
        </w:rPr>
        <w:t>Zakwaterowanie:</w:t>
      </w:r>
    </w:p>
    <w:p w:rsidR="00210676" w:rsidRPr="00842892" w:rsidRDefault="00210676" w:rsidP="00AB6012">
      <w:pPr>
        <w:pStyle w:val="Tekstpodstawowy"/>
        <w:numPr>
          <w:ilvl w:val="0"/>
          <w:numId w:val="27"/>
        </w:numPr>
        <w:spacing w:after="120" w:line="360" w:lineRule="auto"/>
        <w:rPr>
          <w:rFonts w:ascii="Times New Roman" w:hAnsi="Times New Roman" w:cs="Times New Roman"/>
          <w:sz w:val="22"/>
          <w:szCs w:val="22"/>
        </w:rPr>
      </w:pPr>
      <w:r w:rsidRPr="00842892">
        <w:rPr>
          <w:rFonts w:ascii="Times New Roman" w:hAnsi="Times New Roman" w:cs="Times New Roman"/>
          <w:sz w:val="22"/>
          <w:szCs w:val="22"/>
        </w:rPr>
        <w:lastRenderedPageBreak/>
        <w:t xml:space="preserve">W przypadku wyjazdów trwających dłużej niż 1 dzień,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może korzystać z zakwaterow</w:t>
      </w:r>
      <w:r w:rsidRPr="00842892">
        <w:rPr>
          <w:rFonts w:ascii="Times New Roman" w:hAnsi="Times New Roman" w:cs="Times New Roman"/>
          <w:sz w:val="22"/>
          <w:szCs w:val="22"/>
        </w:rPr>
        <w:t>a</w:t>
      </w:r>
      <w:r w:rsidRPr="00842892">
        <w:rPr>
          <w:rFonts w:ascii="Times New Roman" w:hAnsi="Times New Roman" w:cs="Times New Roman"/>
          <w:sz w:val="22"/>
          <w:szCs w:val="22"/>
        </w:rPr>
        <w:t xml:space="preserve">nia. W miarę możliwości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akredytorzy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unikają korzystania z noclegów oferowanych przez beneficje</w:t>
      </w:r>
      <w:r w:rsidRPr="00842892">
        <w:rPr>
          <w:rFonts w:ascii="Times New Roman" w:hAnsi="Times New Roman" w:cs="Times New Roman"/>
          <w:sz w:val="22"/>
          <w:szCs w:val="22"/>
        </w:rPr>
        <w:t>n</w:t>
      </w:r>
      <w:r w:rsidRPr="00842892">
        <w:rPr>
          <w:rFonts w:ascii="Times New Roman" w:hAnsi="Times New Roman" w:cs="Times New Roman"/>
          <w:sz w:val="22"/>
          <w:szCs w:val="22"/>
        </w:rPr>
        <w:t xml:space="preserve">tów.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zobowiązany jest opłacić swój nocleg, potwierdzony wystawioną przez organizację fakturą lub rachunkiem.</w:t>
      </w:r>
    </w:p>
    <w:p w:rsidR="00210676" w:rsidRPr="00842892" w:rsidRDefault="00210676" w:rsidP="00AB6012">
      <w:pPr>
        <w:spacing w:before="200" w:after="60" w:line="360" w:lineRule="auto"/>
        <w:jc w:val="both"/>
        <w:rPr>
          <w:sz w:val="22"/>
          <w:szCs w:val="22"/>
          <w:u w:val="single"/>
        </w:rPr>
      </w:pPr>
      <w:r w:rsidRPr="00842892">
        <w:rPr>
          <w:sz w:val="22"/>
          <w:szCs w:val="22"/>
          <w:u w:val="single"/>
        </w:rPr>
        <w:t>Wyżywienie</w:t>
      </w: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 xml:space="preserve">SALTO EECA zwraca </w:t>
      </w:r>
      <w:proofErr w:type="spellStart"/>
      <w:r w:rsidRPr="00842892">
        <w:rPr>
          <w:sz w:val="22"/>
          <w:szCs w:val="22"/>
        </w:rPr>
        <w:t>akredytorom</w:t>
      </w:r>
      <w:proofErr w:type="spellEnd"/>
      <w:r w:rsidRPr="00842892">
        <w:rPr>
          <w:sz w:val="22"/>
          <w:szCs w:val="22"/>
        </w:rPr>
        <w:t xml:space="preserve"> koszty wyżywienia. </w:t>
      </w: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</w:p>
    <w:p w:rsidR="00210676" w:rsidRPr="00842892" w:rsidRDefault="00210676" w:rsidP="00AB6012">
      <w:pPr>
        <w:spacing w:after="60" w:line="360" w:lineRule="auto"/>
        <w:jc w:val="both"/>
        <w:rPr>
          <w:b/>
          <w:bCs/>
          <w:sz w:val="22"/>
          <w:szCs w:val="22"/>
          <w:u w:val="single"/>
        </w:rPr>
      </w:pPr>
      <w:r w:rsidRPr="00842892">
        <w:rPr>
          <w:b/>
          <w:bCs/>
          <w:sz w:val="22"/>
          <w:szCs w:val="22"/>
          <w:u w:val="single"/>
        </w:rPr>
        <w:t>Rozliczenie:</w:t>
      </w:r>
    </w:p>
    <w:p w:rsidR="00210676" w:rsidRPr="00842892" w:rsidRDefault="00210676" w:rsidP="00AB6012">
      <w:p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 xml:space="preserve">Rozliczenie wykonanej pracy następuje po przedstawieniu przez </w:t>
      </w:r>
      <w:proofErr w:type="spellStart"/>
      <w:r w:rsidRPr="00842892">
        <w:rPr>
          <w:sz w:val="22"/>
          <w:szCs w:val="22"/>
        </w:rPr>
        <w:t>akredytora</w:t>
      </w:r>
      <w:proofErr w:type="spellEnd"/>
      <w:r w:rsidRPr="00842892">
        <w:rPr>
          <w:sz w:val="22"/>
          <w:szCs w:val="22"/>
        </w:rPr>
        <w:t>:</w:t>
      </w:r>
    </w:p>
    <w:p w:rsidR="00210676" w:rsidRPr="00842892" w:rsidRDefault="00210676" w:rsidP="00E57453">
      <w:pPr>
        <w:numPr>
          <w:ilvl w:val="0"/>
          <w:numId w:val="23"/>
        </w:num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 xml:space="preserve">Raportu z przeprowadzonej akredytacji </w:t>
      </w:r>
    </w:p>
    <w:p w:rsidR="00210676" w:rsidRPr="00842892" w:rsidRDefault="00210676" w:rsidP="00AB6012">
      <w:pPr>
        <w:numPr>
          <w:ilvl w:val="0"/>
          <w:numId w:val="23"/>
        </w:num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>Prośby o wystawienie rachunku bądź w przypadku prowadzenia własnej działalności gospodarczej wystawienia faktury VAT lub rachunku;</w:t>
      </w:r>
    </w:p>
    <w:p w:rsidR="00210676" w:rsidRPr="00842892" w:rsidRDefault="00210676" w:rsidP="00AB6012">
      <w:pPr>
        <w:numPr>
          <w:ilvl w:val="0"/>
          <w:numId w:val="23"/>
        </w:num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 xml:space="preserve">Wniosku o zwrot kosztów wraz z oryginałami biletów, rachunków lub faktur, dokumentujących poniesienie wydatków w gotówce, wystawionych na </w:t>
      </w:r>
      <w:proofErr w:type="spellStart"/>
      <w:r w:rsidRPr="00842892">
        <w:rPr>
          <w:sz w:val="22"/>
          <w:szCs w:val="22"/>
        </w:rPr>
        <w:t>akredytora</w:t>
      </w:r>
      <w:proofErr w:type="spellEnd"/>
    </w:p>
    <w:p w:rsidR="00210676" w:rsidRPr="00842892" w:rsidRDefault="00210676" w:rsidP="00CF1C1E">
      <w:pPr>
        <w:spacing w:after="60" w:line="360" w:lineRule="auto"/>
        <w:jc w:val="both"/>
        <w:rPr>
          <w:sz w:val="22"/>
          <w:szCs w:val="22"/>
        </w:rPr>
      </w:pPr>
    </w:p>
    <w:p w:rsidR="00210676" w:rsidRPr="00842892" w:rsidRDefault="00210676" w:rsidP="00CF1C1E">
      <w:pPr>
        <w:spacing w:after="6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>Terminy:</w:t>
      </w:r>
    </w:p>
    <w:p w:rsidR="00210676" w:rsidRPr="00842892" w:rsidRDefault="00210676" w:rsidP="00842892">
      <w:pPr>
        <w:pStyle w:val="Akapitzlist"/>
        <w:numPr>
          <w:ilvl w:val="0"/>
          <w:numId w:val="33"/>
        </w:numPr>
        <w:spacing w:after="60" w:line="360" w:lineRule="auto"/>
        <w:jc w:val="both"/>
        <w:rPr>
          <w:highlight w:val="yellow"/>
        </w:rPr>
      </w:pPr>
      <w:r w:rsidRPr="00842892">
        <w:rPr>
          <w:highlight w:val="yellow"/>
        </w:rPr>
        <w:t>raport należy przedstawić w wersji elektronicznej w ciągu 7 dni kalendarzowych od dnia prz</w:t>
      </w:r>
      <w:r w:rsidRPr="00842892">
        <w:rPr>
          <w:highlight w:val="yellow"/>
        </w:rPr>
        <w:t>e</w:t>
      </w:r>
      <w:r w:rsidRPr="00842892">
        <w:rPr>
          <w:highlight w:val="yellow"/>
        </w:rPr>
        <w:t>prowadzenia akredytacji</w:t>
      </w:r>
    </w:p>
    <w:p w:rsidR="00842892" w:rsidRPr="00842892" w:rsidRDefault="00842892" w:rsidP="00842892">
      <w:pPr>
        <w:pStyle w:val="Akapitzlist"/>
        <w:numPr>
          <w:ilvl w:val="0"/>
          <w:numId w:val="33"/>
        </w:numPr>
        <w:spacing w:after="60" w:line="360" w:lineRule="auto"/>
        <w:jc w:val="both"/>
        <w:rPr>
          <w:highlight w:val="yellow"/>
        </w:rPr>
      </w:pPr>
      <w:r w:rsidRPr="00842892">
        <w:rPr>
          <w:highlight w:val="yellow"/>
        </w:rPr>
        <w:t xml:space="preserve">rachunki/faktury za wykonaną pracę oraz wnioski o zwrot kosztów podróży powinny być przedstawione w przeciągu 30 dni od zakończenia akredytacji (zaakceptowania raportu przez </w:t>
      </w:r>
      <w:proofErr w:type="spellStart"/>
      <w:r w:rsidRPr="00842892">
        <w:rPr>
          <w:highlight w:val="yellow"/>
        </w:rPr>
        <w:t>akredytora</w:t>
      </w:r>
      <w:proofErr w:type="spellEnd"/>
      <w:r w:rsidRPr="00842892">
        <w:rPr>
          <w:highlight w:val="yellow"/>
        </w:rPr>
        <w:t xml:space="preserve">), jednak </w:t>
      </w:r>
      <w:r w:rsidRPr="00842892">
        <w:rPr>
          <w:b/>
          <w:highlight w:val="yellow"/>
        </w:rPr>
        <w:t>nie później niż do dnia 1 grudnia</w:t>
      </w:r>
      <w:r w:rsidRPr="00842892">
        <w:rPr>
          <w:highlight w:val="yellow"/>
        </w:rPr>
        <w:t xml:space="preserve"> roku, w którym została wykonana akr</w:t>
      </w:r>
      <w:r w:rsidRPr="00842892">
        <w:rPr>
          <w:highlight w:val="yellow"/>
        </w:rPr>
        <w:t>e</w:t>
      </w:r>
      <w:r w:rsidRPr="00842892">
        <w:rPr>
          <w:highlight w:val="yellow"/>
        </w:rPr>
        <w:t>dytacja</w:t>
      </w:r>
    </w:p>
    <w:p w:rsidR="00210676" w:rsidRPr="00842892" w:rsidRDefault="00210676" w:rsidP="00752930">
      <w:pPr>
        <w:tabs>
          <w:tab w:val="left" w:pos="2160"/>
        </w:tabs>
        <w:spacing w:before="120" w:after="120" w:line="360" w:lineRule="auto"/>
        <w:jc w:val="both"/>
        <w:rPr>
          <w:sz w:val="22"/>
          <w:szCs w:val="22"/>
        </w:rPr>
      </w:pPr>
      <w:r w:rsidRPr="00842892">
        <w:rPr>
          <w:sz w:val="22"/>
          <w:szCs w:val="22"/>
        </w:rPr>
        <w:t>W przypadku nie wykonania zlecenia w terminie, wykonania go wadliwie lub w sposób nienależyty Zleceniodawca ma prawo do pomniejszenia wynagrodzenia lub anulowania zlecenia bez odszkodow</w:t>
      </w:r>
      <w:r w:rsidRPr="00842892">
        <w:rPr>
          <w:sz w:val="22"/>
          <w:szCs w:val="22"/>
        </w:rPr>
        <w:t>a</w:t>
      </w:r>
      <w:r w:rsidRPr="00842892">
        <w:rPr>
          <w:sz w:val="22"/>
          <w:szCs w:val="22"/>
        </w:rPr>
        <w:t>nia.</w:t>
      </w:r>
    </w:p>
    <w:p w:rsidR="00210676" w:rsidRPr="00842892" w:rsidRDefault="00210676" w:rsidP="00752930">
      <w:pPr>
        <w:tabs>
          <w:tab w:val="left" w:pos="2160"/>
        </w:tabs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</w:p>
    <w:p w:rsidR="00210676" w:rsidRPr="00842892" w:rsidRDefault="00210676" w:rsidP="00AB6012">
      <w:pPr>
        <w:spacing w:after="60" w:line="360" w:lineRule="auto"/>
        <w:jc w:val="both"/>
        <w:rPr>
          <w:b/>
          <w:bCs/>
          <w:sz w:val="22"/>
          <w:szCs w:val="22"/>
          <w:u w:val="single"/>
        </w:rPr>
      </w:pPr>
      <w:r w:rsidRPr="00842892">
        <w:rPr>
          <w:b/>
          <w:bCs/>
          <w:sz w:val="22"/>
          <w:szCs w:val="22"/>
          <w:u w:val="single"/>
        </w:rPr>
        <w:t>Ubezpieczenie:</w:t>
      </w:r>
    </w:p>
    <w:p w:rsidR="00210676" w:rsidRPr="00842892" w:rsidRDefault="00210676" w:rsidP="00A53157">
      <w:pPr>
        <w:pStyle w:val="Tekstpodstawowy"/>
        <w:spacing w:after="60" w:line="360" w:lineRule="auto"/>
        <w:rPr>
          <w:rFonts w:ascii="Times New Roman" w:hAnsi="Times New Roman" w:cs="Times New Roman"/>
          <w:sz w:val="22"/>
          <w:szCs w:val="22"/>
        </w:rPr>
      </w:pPr>
      <w:r w:rsidRPr="00842892">
        <w:rPr>
          <w:rFonts w:ascii="Times New Roman" w:hAnsi="Times New Roman" w:cs="Times New Roman"/>
          <w:sz w:val="22"/>
          <w:szCs w:val="22"/>
        </w:rPr>
        <w:t xml:space="preserve">Narodowa Agencja nie pokrywa kosztów ubezpieczenia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akredytora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(zdrowotnego, NW, OC). </w:t>
      </w:r>
      <w:proofErr w:type="spellStart"/>
      <w:r w:rsidRPr="00842892">
        <w:rPr>
          <w:rFonts w:ascii="Times New Roman" w:hAnsi="Times New Roman" w:cs="Times New Roman"/>
          <w:sz w:val="22"/>
          <w:szCs w:val="22"/>
        </w:rPr>
        <w:t>Akredytor</w:t>
      </w:r>
      <w:proofErr w:type="spellEnd"/>
      <w:r w:rsidRPr="00842892">
        <w:rPr>
          <w:rFonts w:ascii="Times New Roman" w:hAnsi="Times New Roman" w:cs="Times New Roman"/>
          <w:sz w:val="22"/>
          <w:szCs w:val="22"/>
        </w:rPr>
        <w:t xml:space="preserve"> zobowiązany jest do samodzielnego pokrywania kosztów takiego ubezpieczenia.</w:t>
      </w:r>
    </w:p>
    <w:sectPr w:rsidR="00210676" w:rsidRPr="00842892" w:rsidSect="00F172E8">
      <w:headerReference w:type="default" r:id="rId7"/>
      <w:footerReference w:type="default" r:id="rId8"/>
      <w:pgSz w:w="11906" w:h="16838"/>
      <w:pgMar w:top="1417" w:right="1286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76" w:rsidRDefault="00210676">
      <w:r>
        <w:separator/>
      </w:r>
    </w:p>
  </w:endnote>
  <w:endnote w:type="continuationSeparator" w:id="0">
    <w:p w:rsidR="00210676" w:rsidRDefault="00210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76" w:rsidRDefault="00210676">
    <w:pPr>
      <w:pStyle w:val="Stopka"/>
      <w:pBdr>
        <w:top w:val="single" w:sz="4" w:space="1" w:color="auto"/>
      </w:pBdr>
      <w:tabs>
        <w:tab w:val="clear" w:pos="9072"/>
        <w:tab w:val="right" w:pos="9180"/>
      </w:tabs>
      <w:rPr>
        <w:rFonts w:ascii="Arial Narrow" w:hAnsi="Arial Narrow" w:cs="Tahoma"/>
        <w:noProof/>
        <w:sz w:val="18"/>
      </w:rPr>
    </w:pPr>
    <w:r>
      <w:rPr>
        <w:rFonts w:ascii="Arial Narrow" w:hAnsi="Arial Narrow" w:cs="Tahoma"/>
        <w:sz w:val="18"/>
      </w:rPr>
      <w:t>&lt;&lt;</w:t>
    </w:r>
    <w:r w:rsidR="00F71927">
      <w:rPr>
        <w:rFonts w:ascii="Arial Narrow" w:hAnsi="Arial Narrow" w:cs="Tahoma"/>
        <w:sz w:val="18"/>
      </w:rPr>
      <w:fldChar w:fldCharType="begin"/>
    </w:r>
    <w:r>
      <w:rPr>
        <w:rFonts w:ascii="Arial Narrow" w:hAnsi="Arial Narrow" w:cs="Tahoma"/>
        <w:sz w:val="18"/>
      </w:rPr>
      <w:instrText xml:space="preserve"> FILENAME </w:instrText>
    </w:r>
    <w:r w:rsidR="00F71927">
      <w:rPr>
        <w:rFonts w:ascii="Arial Narrow" w:hAnsi="Arial Narrow" w:cs="Tahoma"/>
        <w:sz w:val="18"/>
      </w:rPr>
      <w:fldChar w:fldCharType="separate"/>
    </w:r>
    <w:r w:rsidR="0067311E">
      <w:rPr>
        <w:rFonts w:ascii="Arial Narrow" w:hAnsi="Arial Narrow" w:cs="Tahoma"/>
        <w:noProof/>
        <w:sz w:val="18"/>
      </w:rPr>
      <w:t>Zał_nr_1a_do_SIWZ_zasady współpracy</w:t>
    </w:r>
    <w:r w:rsidR="00F71927">
      <w:rPr>
        <w:rFonts w:ascii="Arial Narrow" w:hAnsi="Arial Narrow" w:cs="Tahoma"/>
        <w:sz w:val="18"/>
      </w:rPr>
      <w:fldChar w:fldCharType="end"/>
    </w:r>
    <w:r>
      <w:rPr>
        <w:rFonts w:ascii="Arial Narrow" w:hAnsi="Arial Narrow" w:cs="Tahoma"/>
        <w:sz w:val="18"/>
      </w:rPr>
      <w:t>&gt;&gt;</w:t>
    </w:r>
    <w:r>
      <w:rPr>
        <w:rFonts w:ascii="Arial Narrow" w:hAnsi="Arial Narrow" w:cs="Tahoma"/>
        <w:sz w:val="18"/>
      </w:rPr>
      <w:tab/>
    </w:r>
    <w:r>
      <w:rPr>
        <w:rFonts w:ascii="Arial Narrow" w:hAnsi="Arial Narrow" w:cs="Tahoma"/>
        <w:sz w:val="18"/>
      </w:rPr>
      <w:tab/>
      <w:t xml:space="preserve">(Strona </w:t>
    </w:r>
    <w:r w:rsidR="00F71927">
      <w:rPr>
        <w:rFonts w:ascii="Arial Narrow" w:hAnsi="Arial Narrow" w:cs="Tahoma"/>
        <w:sz w:val="18"/>
      </w:rPr>
      <w:fldChar w:fldCharType="begin"/>
    </w:r>
    <w:r>
      <w:rPr>
        <w:rFonts w:ascii="Arial Narrow" w:hAnsi="Arial Narrow" w:cs="Tahoma"/>
        <w:sz w:val="18"/>
      </w:rPr>
      <w:instrText xml:space="preserve"> PAGE </w:instrText>
    </w:r>
    <w:r w:rsidR="00F71927">
      <w:rPr>
        <w:rFonts w:ascii="Arial Narrow" w:hAnsi="Arial Narrow" w:cs="Tahoma"/>
        <w:sz w:val="18"/>
      </w:rPr>
      <w:fldChar w:fldCharType="separate"/>
    </w:r>
    <w:r w:rsidR="0067311E">
      <w:rPr>
        <w:rFonts w:ascii="Arial Narrow" w:hAnsi="Arial Narrow" w:cs="Tahoma"/>
        <w:noProof/>
        <w:sz w:val="18"/>
      </w:rPr>
      <w:t>3</w:t>
    </w:r>
    <w:r w:rsidR="00F71927">
      <w:rPr>
        <w:rFonts w:ascii="Arial Narrow" w:hAnsi="Arial Narrow" w:cs="Tahoma"/>
        <w:sz w:val="18"/>
      </w:rPr>
      <w:fldChar w:fldCharType="end"/>
    </w:r>
    <w:r>
      <w:rPr>
        <w:rFonts w:ascii="Arial Narrow" w:hAnsi="Arial Narrow" w:cs="Tahoma"/>
        <w:sz w:val="18"/>
      </w:rPr>
      <w:t xml:space="preserve"> z </w:t>
    </w:r>
    <w:r w:rsidR="00F71927">
      <w:rPr>
        <w:rFonts w:ascii="Arial Narrow" w:hAnsi="Arial Narrow" w:cs="Tahoma"/>
        <w:sz w:val="18"/>
      </w:rPr>
      <w:fldChar w:fldCharType="begin"/>
    </w:r>
    <w:r>
      <w:rPr>
        <w:rFonts w:ascii="Arial Narrow" w:hAnsi="Arial Narrow" w:cs="Tahoma"/>
        <w:sz w:val="18"/>
      </w:rPr>
      <w:instrText xml:space="preserve"> NUMPAGES </w:instrText>
    </w:r>
    <w:r w:rsidR="00F71927">
      <w:rPr>
        <w:rFonts w:ascii="Arial Narrow" w:hAnsi="Arial Narrow" w:cs="Tahoma"/>
        <w:sz w:val="18"/>
      </w:rPr>
      <w:fldChar w:fldCharType="separate"/>
    </w:r>
    <w:r w:rsidR="0067311E">
      <w:rPr>
        <w:rFonts w:ascii="Arial Narrow" w:hAnsi="Arial Narrow" w:cs="Tahoma"/>
        <w:noProof/>
        <w:sz w:val="18"/>
      </w:rPr>
      <w:t>3</w:t>
    </w:r>
    <w:r w:rsidR="00F71927">
      <w:rPr>
        <w:rFonts w:ascii="Arial Narrow" w:hAnsi="Arial Narrow" w:cs="Tahoma"/>
        <w:sz w:val="18"/>
      </w:rPr>
      <w:fldChar w:fldCharType="end"/>
    </w:r>
    <w:r>
      <w:rPr>
        <w:rFonts w:ascii="Arial Narrow" w:hAnsi="Arial Narrow" w:cs="Tahoma"/>
        <w:sz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76" w:rsidRDefault="00210676">
      <w:r>
        <w:separator/>
      </w:r>
    </w:p>
  </w:footnote>
  <w:footnote w:type="continuationSeparator" w:id="0">
    <w:p w:rsidR="00210676" w:rsidRDefault="002106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11E" w:rsidRDefault="0067311E">
    <w:pPr>
      <w:pStyle w:val="Nagwek"/>
    </w:pPr>
    <w:r>
      <w:t>Numer postępowania ZP-18/FRSE/2014</w:t>
    </w:r>
    <w:r>
      <w:tab/>
    </w:r>
    <w:r>
      <w:tab/>
      <w:t>Załącznik nr 1a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F8B"/>
    <w:multiLevelType w:val="multilevel"/>
    <w:tmpl w:val="83DAB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1">
    <w:nsid w:val="064E14BB"/>
    <w:multiLevelType w:val="hybridMultilevel"/>
    <w:tmpl w:val="CD84FDEE"/>
    <w:lvl w:ilvl="0" w:tplc="63BA6A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95C97"/>
    <w:multiLevelType w:val="hybridMultilevel"/>
    <w:tmpl w:val="C9568BA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56E5F07"/>
    <w:multiLevelType w:val="hybridMultilevel"/>
    <w:tmpl w:val="87207DF2"/>
    <w:lvl w:ilvl="0" w:tplc="B6B832B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8BB6C34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5">
    <w:nsid w:val="19434EFE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6">
    <w:nsid w:val="1E2116B7"/>
    <w:multiLevelType w:val="hybridMultilevel"/>
    <w:tmpl w:val="2F125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4F651D"/>
    <w:multiLevelType w:val="hybridMultilevel"/>
    <w:tmpl w:val="3C4CBB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80E5A"/>
    <w:multiLevelType w:val="hybridMultilevel"/>
    <w:tmpl w:val="20FCE5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DF7ACD"/>
    <w:multiLevelType w:val="hybridMultilevel"/>
    <w:tmpl w:val="AFE80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407F49"/>
    <w:multiLevelType w:val="hybridMultilevel"/>
    <w:tmpl w:val="CD84FD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87A2B"/>
    <w:multiLevelType w:val="hybridMultilevel"/>
    <w:tmpl w:val="B3E0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A126BF"/>
    <w:multiLevelType w:val="hybridMultilevel"/>
    <w:tmpl w:val="2948371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82456B"/>
    <w:multiLevelType w:val="hybridMultilevel"/>
    <w:tmpl w:val="237A56C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5C7462C"/>
    <w:multiLevelType w:val="hybridMultilevel"/>
    <w:tmpl w:val="78A6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91B80"/>
    <w:multiLevelType w:val="hybridMultilevel"/>
    <w:tmpl w:val="CD84FDEE"/>
    <w:lvl w:ilvl="0" w:tplc="AE6290FA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751931"/>
    <w:multiLevelType w:val="singleLevel"/>
    <w:tmpl w:val="442CDC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C204741"/>
    <w:multiLevelType w:val="hybridMultilevel"/>
    <w:tmpl w:val="97FC34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A92EBC"/>
    <w:multiLevelType w:val="hybridMultilevel"/>
    <w:tmpl w:val="5338EFD6"/>
    <w:lvl w:ilvl="0" w:tplc="995C02E6">
      <w:start w:val="1"/>
      <w:numFmt w:val="bullet"/>
      <w:lvlText w:val=""/>
      <w:lvlJc w:val="left"/>
      <w:pPr>
        <w:tabs>
          <w:tab w:val="num" w:pos="386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57EE1"/>
    <w:multiLevelType w:val="hybridMultilevel"/>
    <w:tmpl w:val="81AC4862"/>
    <w:lvl w:ilvl="0" w:tplc="A4723708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F408A"/>
    <w:multiLevelType w:val="multilevel"/>
    <w:tmpl w:val="5A387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>
    <w:nsid w:val="4F650B53"/>
    <w:multiLevelType w:val="singleLevel"/>
    <w:tmpl w:val="15B65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2">
    <w:nsid w:val="559F0FCD"/>
    <w:multiLevelType w:val="hybridMultilevel"/>
    <w:tmpl w:val="CD84FDE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7554A4"/>
    <w:multiLevelType w:val="hybridMultilevel"/>
    <w:tmpl w:val="B9DE2D7A"/>
    <w:lvl w:ilvl="0" w:tplc="B6BCEAF6">
      <w:start w:val="1"/>
      <w:numFmt w:val="bullet"/>
      <w:lvlText w:val=""/>
      <w:lvlJc w:val="left"/>
      <w:pPr>
        <w:tabs>
          <w:tab w:val="num" w:pos="1068"/>
        </w:tabs>
        <w:ind w:left="1031" w:hanging="32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5C172ED0"/>
    <w:multiLevelType w:val="multilevel"/>
    <w:tmpl w:val="4DF8815C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5">
    <w:nsid w:val="653F7759"/>
    <w:multiLevelType w:val="hybridMultilevel"/>
    <w:tmpl w:val="EA44C5B6"/>
    <w:lvl w:ilvl="0" w:tplc="995C02E6">
      <w:start w:val="1"/>
      <w:numFmt w:val="bullet"/>
      <w:lvlText w:val=""/>
      <w:lvlJc w:val="left"/>
      <w:pPr>
        <w:tabs>
          <w:tab w:val="num" w:pos="386"/>
        </w:tabs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3C14D2"/>
    <w:multiLevelType w:val="multilevel"/>
    <w:tmpl w:val="EA74E8E8"/>
    <w:lvl w:ilvl="0">
      <w:start w:val="4"/>
      <w:numFmt w:val="decimal"/>
      <w:lvlText w:val="%1."/>
      <w:lvlJc w:val="left"/>
      <w:pPr>
        <w:tabs>
          <w:tab w:val="num" w:pos="506"/>
        </w:tabs>
        <w:ind w:left="506" w:hanging="50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27">
    <w:nsid w:val="69327C59"/>
    <w:multiLevelType w:val="hybridMultilevel"/>
    <w:tmpl w:val="65C22B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7317E"/>
    <w:multiLevelType w:val="hybridMultilevel"/>
    <w:tmpl w:val="2F1254AE"/>
    <w:lvl w:ilvl="0" w:tplc="879C13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hint="default"/>
      </w:rPr>
    </w:lvl>
    <w:lvl w:ilvl="1" w:tplc="31E8DE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EBC79D9"/>
    <w:multiLevelType w:val="multilevel"/>
    <w:tmpl w:val="883E53D8"/>
    <w:lvl w:ilvl="0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30">
    <w:nsid w:val="70F12170"/>
    <w:multiLevelType w:val="hybridMultilevel"/>
    <w:tmpl w:val="25348EBE"/>
    <w:lvl w:ilvl="0" w:tplc="AD3098C4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851603E8">
      <w:numFmt w:val="bullet"/>
      <w:lvlText w:val=""/>
      <w:lvlJc w:val="left"/>
      <w:pPr>
        <w:tabs>
          <w:tab w:val="num" w:pos="3420"/>
        </w:tabs>
        <w:ind w:left="3420" w:hanging="360"/>
      </w:pPr>
      <w:rPr>
        <w:rFonts w:ascii="Wingdings" w:eastAsia="Times New Roman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1">
    <w:nsid w:val="7A2942E8"/>
    <w:multiLevelType w:val="multilevel"/>
    <w:tmpl w:val="F8161AAE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cs="Times New Roman" w:hint="default"/>
      </w:rPr>
    </w:lvl>
  </w:abstractNum>
  <w:abstractNum w:abstractNumId="32">
    <w:nsid w:val="7DA150F1"/>
    <w:multiLevelType w:val="hybridMultilevel"/>
    <w:tmpl w:val="C2468D18"/>
    <w:lvl w:ilvl="0" w:tplc="879C1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SimSun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2"/>
  </w:num>
  <w:num w:numId="4">
    <w:abstractNumId w:val="10"/>
  </w:num>
  <w:num w:numId="5">
    <w:abstractNumId w:val="15"/>
  </w:num>
  <w:num w:numId="6">
    <w:abstractNumId w:val="1"/>
  </w:num>
  <w:num w:numId="7">
    <w:abstractNumId w:val="2"/>
  </w:num>
  <w:num w:numId="8">
    <w:abstractNumId w:val="20"/>
  </w:num>
  <w:num w:numId="9">
    <w:abstractNumId w:val="24"/>
  </w:num>
  <w:num w:numId="10">
    <w:abstractNumId w:val="0"/>
  </w:num>
  <w:num w:numId="11">
    <w:abstractNumId w:val="29"/>
  </w:num>
  <w:num w:numId="12">
    <w:abstractNumId w:val="31"/>
  </w:num>
  <w:num w:numId="13">
    <w:abstractNumId w:val="26"/>
  </w:num>
  <w:num w:numId="14">
    <w:abstractNumId w:val="16"/>
  </w:num>
  <w:num w:numId="15">
    <w:abstractNumId w:val="4"/>
  </w:num>
  <w:num w:numId="16">
    <w:abstractNumId w:val="21"/>
  </w:num>
  <w:num w:numId="17">
    <w:abstractNumId w:val="5"/>
  </w:num>
  <w:num w:numId="18">
    <w:abstractNumId w:val="32"/>
  </w:num>
  <w:num w:numId="19">
    <w:abstractNumId w:val="9"/>
  </w:num>
  <w:num w:numId="20">
    <w:abstractNumId w:val="19"/>
  </w:num>
  <w:num w:numId="21">
    <w:abstractNumId w:val="27"/>
  </w:num>
  <w:num w:numId="22">
    <w:abstractNumId w:val="30"/>
  </w:num>
  <w:num w:numId="23">
    <w:abstractNumId w:val="3"/>
  </w:num>
  <w:num w:numId="24">
    <w:abstractNumId w:val="12"/>
  </w:num>
  <w:num w:numId="25">
    <w:abstractNumId w:val="23"/>
  </w:num>
  <w:num w:numId="26">
    <w:abstractNumId w:val="25"/>
  </w:num>
  <w:num w:numId="27">
    <w:abstractNumId w:val="18"/>
  </w:num>
  <w:num w:numId="28">
    <w:abstractNumId w:val="13"/>
  </w:num>
  <w:num w:numId="29">
    <w:abstractNumId w:val="7"/>
  </w:num>
  <w:num w:numId="30">
    <w:abstractNumId w:val="11"/>
  </w:num>
  <w:num w:numId="31">
    <w:abstractNumId w:val="8"/>
  </w:num>
  <w:num w:numId="32">
    <w:abstractNumId w:val="17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B8"/>
    <w:rsid w:val="000A3D2A"/>
    <w:rsid w:val="001A26CD"/>
    <w:rsid w:val="00210676"/>
    <w:rsid w:val="002336B8"/>
    <w:rsid w:val="002D1302"/>
    <w:rsid w:val="00343D6A"/>
    <w:rsid w:val="003C47B1"/>
    <w:rsid w:val="00455D34"/>
    <w:rsid w:val="004F555D"/>
    <w:rsid w:val="00523064"/>
    <w:rsid w:val="00573D8C"/>
    <w:rsid w:val="0067311E"/>
    <w:rsid w:val="00743F17"/>
    <w:rsid w:val="00752930"/>
    <w:rsid w:val="0076292E"/>
    <w:rsid w:val="00767484"/>
    <w:rsid w:val="0078630D"/>
    <w:rsid w:val="007B7EEA"/>
    <w:rsid w:val="00826BFB"/>
    <w:rsid w:val="00842892"/>
    <w:rsid w:val="008A5B69"/>
    <w:rsid w:val="008E2AFA"/>
    <w:rsid w:val="009425AD"/>
    <w:rsid w:val="009A2E5E"/>
    <w:rsid w:val="00A17499"/>
    <w:rsid w:val="00A53157"/>
    <w:rsid w:val="00A5602B"/>
    <w:rsid w:val="00A80094"/>
    <w:rsid w:val="00AB6012"/>
    <w:rsid w:val="00B23386"/>
    <w:rsid w:val="00B33139"/>
    <w:rsid w:val="00BA14C9"/>
    <w:rsid w:val="00BC5DFB"/>
    <w:rsid w:val="00C07F0F"/>
    <w:rsid w:val="00C374D6"/>
    <w:rsid w:val="00C74393"/>
    <w:rsid w:val="00CC6ACD"/>
    <w:rsid w:val="00CE3504"/>
    <w:rsid w:val="00CF1C1E"/>
    <w:rsid w:val="00D35044"/>
    <w:rsid w:val="00D70ACA"/>
    <w:rsid w:val="00D70F53"/>
    <w:rsid w:val="00E23EA9"/>
    <w:rsid w:val="00E57453"/>
    <w:rsid w:val="00E76C09"/>
    <w:rsid w:val="00EE1FD8"/>
    <w:rsid w:val="00F172E8"/>
    <w:rsid w:val="00F71927"/>
    <w:rsid w:val="00F9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2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172E8"/>
    <w:pPr>
      <w:keepNext/>
      <w:outlineLvl w:val="0"/>
    </w:pPr>
    <w:rPr>
      <w:rFonts w:ascii="Verdana" w:hAnsi="Verdana"/>
      <w:b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72E8"/>
    <w:pPr>
      <w:keepNext/>
      <w:jc w:val="both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172E8"/>
    <w:pPr>
      <w:keepNext/>
      <w:jc w:val="both"/>
      <w:outlineLvl w:val="2"/>
    </w:pPr>
    <w:rPr>
      <w:rFonts w:ascii="Tahoma" w:hAnsi="Tahoma" w:cs="Tahoma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3A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3A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3A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rsid w:val="00F172E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172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3A58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72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3A5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72E8"/>
    <w:pPr>
      <w:jc w:val="both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3A58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72E8"/>
    <w:pPr>
      <w:jc w:val="both"/>
    </w:pPr>
    <w:rPr>
      <w:rFonts w:ascii="Tahoma" w:hAnsi="Tahoma" w:cs="Tahoma"/>
      <w:sz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C3A58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F172E8"/>
    <w:pPr>
      <w:jc w:val="center"/>
    </w:pPr>
    <w:rPr>
      <w:rFonts w:ascii="Tahoma" w:hAnsi="Tahoma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EC3A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F172E8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C3A58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172E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3A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172E8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172E8"/>
    <w:rPr>
      <w:rFonts w:cs="Times New Roman"/>
      <w:b/>
      <w:bCs/>
    </w:rPr>
  </w:style>
  <w:style w:type="character" w:styleId="UyteHipercze">
    <w:name w:val="FollowedHyperlink"/>
    <w:basedOn w:val="Domylnaczcionkaakapitu"/>
    <w:uiPriority w:val="99"/>
    <w:rsid w:val="00F172E8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743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A58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CC6A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C6A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C6ACD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C6A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C6ACD"/>
    <w:rPr>
      <w:b/>
      <w:bCs/>
    </w:rPr>
  </w:style>
  <w:style w:type="paragraph" w:styleId="Akapitzlist">
    <w:name w:val="List Paragraph"/>
    <w:basedOn w:val="Normalny"/>
    <w:uiPriority w:val="99"/>
    <w:qFormat/>
    <w:rsid w:val="008A5B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721</Words>
  <Characters>5101</Characters>
  <Application>Microsoft Office Word</Application>
  <DocSecurity>0</DocSecurity>
  <Lines>42</Lines>
  <Paragraphs>11</Paragraphs>
  <ScaleCrop>false</ScaleCrop>
  <Company>Narodowa Agencja Programu MŁODZIEŻ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współpracy Narodowej Agencji z akredytorami EVS</dc:title>
  <dc:subject>Załącznik do umowy zlecenie</dc:subject>
  <dc:creator>Bartosz Mielecki</dc:creator>
  <cp:lastModifiedBy>psosnowski</cp:lastModifiedBy>
  <cp:revision>4</cp:revision>
  <cp:lastPrinted>2014-02-28T14:34:00Z</cp:lastPrinted>
  <dcterms:created xsi:type="dcterms:W3CDTF">2014-02-18T07:44:00Z</dcterms:created>
  <dcterms:modified xsi:type="dcterms:W3CDTF">2014-02-28T14:34:00Z</dcterms:modified>
</cp:coreProperties>
</file>