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B7" w:rsidRPr="00133DDF" w:rsidRDefault="00DF67B7" w:rsidP="00454060">
      <w:pPr>
        <w:spacing w:before="120" w:line="276" w:lineRule="auto"/>
        <w:jc w:val="center"/>
        <w:rPr>
          <w:b/>
          <w:sz w:val="22"/>
          <w:szCs w:val="22"/>
          <w:lang w:val="en-GB"/>
        </w:rPr>
      </w:pPr>
      <w:r w:rsidRPr="00133DDF">
        <w:rPr>
          <w:b/>
          <w:sz w:val="22"/>
          <w:szCs w:val="22"/>
          <w:lang w:val="en-GB"/>
        </w:rPr>
        <w:t>DESCRIPTION OF THE SUBJECT-MATTER</w:t>
      </w:r>
      <w:r w:rsidR="00B023D4" w:rsidRPr="00133DDF">
        <w:rPr>
          <w:b/>
          <w:sz w:val="22"/>
          <w:szCs w:val="22"/>
          <w:lang w:val="en-GB"/>
        </w:rPr>
        <w:t xml:space="preserve"> OF THE CONTRACT</w:t>
      </w:r>
    </w:p>
    <w:p w:rsidR="00D51F65" w:rsidRPr="00133DDF" w:rsidRDefault="00D51F65" w:rsidP="00454060">
      <w:pPr>
        <w:spacing w:line="276" w:lineRule="auto"/>
        <w:jc w:val="both"/>
        <w:rPr>
          <w:sz w:val="22"/>
          <w:szCs w:val="22"/>
          <w:lang w:val="en-GB"/>
        </w:rPr>
      </w:pPr>
    </w:p>
    <w:p w:rsidR="005C0631" w:rsidRPr="00133DDF" w:rsidRDefault="00DF67B7" w:rsidP="00454060">
      <w:pPr>
        <w:spacing w:line="276" w:lineRule="auto"/>
        <w:jc w:val="both"/>
        <w:rPr>
          <w:sz w:val="22"/>
          <w:szCs w:val="22"/>
          <w:lang w:val="en-GB"/>
        </w:rPr>
      </w:pPr>
      <w:r w:rsidRPr="00133DDF">
        <w:rPr>
          <w:sz w:val="22"/>
          <w:szCs w:val="22"/>
          <w:lang w:val="en-GB"/>
        </w:rPr>
        <w:t>T</w:t>
      </w:r>
      <w:r w:rsidR="003A339A" w:rsidRPr="00133DDF">
        <w:rPr>
          <w:sz w:val="22"/>
          <w:szCs w:val="22"/>
          <w:lang w:val="en-GB"/>
        </w:rPr>
        <w:t>he subject matter of the contract shall be t</w:t>
      </w:r>
      <w:r w:rsidRPr="00133DDF">
        <w:rPr>
          <w:sz w:val="22"/>
          <w:szCs w:val="22"/>
          <w:lang w:val="en-GB"/>
        </w:rPr>
        <w:t xml:space="preserve">he provision of a service consisting in </w:t>
      </w:r>
      <w:r w:rsidRPr="00133DDF">
        <w:rPr>
          <w:b/>
          <w:sz w:val="22"/>
          <w:szCs w:val="22"/>
          <w:lang w:val="en-GB"/>
        </w:rPr>
        <w:t>carrying out the accreditation of organisations</w:t>
      </w:r>
      <w:r w:rsidRPr="00133DDF">
        <w:rPr>
          <w:sz w:val="22"/>
          <w:szCs w:val="22"/>
          <w:lang w:val="en-GB"/>
        </w:rPr>
        <w:t xml:space="preserve"> from the countries of </w:t>
      </w:r>
      <w:r w:rsidR="00554B55" w:rsidRPr="00133DDF">
        <w:rPr>
          <w:sz w:val="22"/>
          <w:szCs w:val="22"/>
          <w:lang w:val="en-GB"/>
        </w:rPr>
        <w:t xml:space="preserve">the </w:t>
      </w:r>
      <w:r w:rsidRPr="00133DDF">
        <w:rPr>
          <w:sz w:val="22"/>
          <w:szCs w:val="22"/>
          <w:lang w:val="en-GB"/>
        </w:rPr>
        <w:t>Eastern Partnership and Russia, applying for the status of European Voluntary Service accredited organisations under the Erasmus+ programme – KA 1 Learning Mobility of Individuals.</w:t>
      </w:r>
    </w:p>
    <w:p w:rsidR="00BC44A8" w:rsidRPr="00133DDF" w:rsidRDefault="00DF67B7" w:rsidP="00454060">
      <w:pPr>
        <w:spacing w:line="276" w:lineRule="auto"/>
        <w:jc w:val="both"/>
        <w:rPr>
          <w:sz w:val="22"/>
          <w:szCs w:val="22"/>
          <w:lang w:val="en-GB"/>
        </w:rPr>
      </w:pPr>
      <w:r w:rsidRPr="00133DDF">
        <w:rPr>
          <w:sz w:val="22"/>
          <w:szCs w:val="22"/>
          <w:lang w:val="en-GB"/>
        </w:rPr>
        <w:t xml:space="preserve">Accreditations will be held in </w:t>
      </w:r>
      <w:r w:rsidR="00554B55" w:rsidRPr="00133DDF">
        <w:rPr>
          <w:sz w:val="22"/>
          <w:szCs w:val="22"/>
          <w:lang w:val="en-GB"/>
        </w:rPr>
        <w:t xml:space="preserve">the </w:t>
      </w:r>
      <w:r w:rsidRPr="00133DDF">
        <w:rPr>
          <w:sz w:val="22"/>
          <w:szCs w:val="22"/>
          <w:lang w:val="en-GB"/>
        </w:rPr>
        <w:t>Eastern Partnership</w:t>
      </w:r>
      <w:r w:rsidR="003A339A" w:rsidRPr="00133DDF">
        <w:rPr>
          <w:sz w:val="22"/>
          <w:szCs w:val="22"/>
          <w:lang w:val="en-GB"/>
        </w:rPr>
        <w:t xml:space="preserve"> countries</w:t>
      </w:r>
      <w:r w:rsidRPr="00133DDF">
        <w:rPr>
          <w:sz w:val="22"/>
          <w:szCs w:val="22"/>
          <w:lang w:val="en-GB"/>
        </w:rPr>
        <w:t xml:space="preserve"> (Armenia, Azerbaijan, Belarus, Georgia, Moldova and Ukraine) and in the Russian Federation.</w:t>
      </w:r>
    </w:p>
    <w:p w:rsidR="00E73D72" w:rsidRPr="00133DDF" w:rsidRDefault="00DF67B7" w:rsidP="00E73D72">
      <w:pPr>
        <w:spacing w:line="276" w:lineRule="auto"/>
        <w:jc w:val="both"/>
        <w:rPr>
          <w:sz w:val="22"/>
          <w:szCs w:val="22"/>
          <w:lang w:val="en-GB"/>
        </w:rPr>
      </w:pPr>
      <w:r w:rsidRPr="00133DDF">
        <w:rPr>
          <w:sz w:val="22"/>
          <w:szCs w:val="22"/>
          <w:lang w:val="en-GB"/>
        </w:rPr>
        <w:t xml:space="preserve">In accordance with the European Commission’s guidelines, acquiring an accreditation is indispensable for being listed as a partner in grant applications for the implementation of EVS projects. Accreditation is meant to ensure a uniform and high project standard and </w:t>
      </w:r>
      <w:r w:rsidR="00554B55" w:rsidRPr="00133DDF">
        <w:rPr>
          <w:sz w:val="22"/>
          <w:szCs w:val="22"/>
          <w:lang w:val="en-GB"/>
        </w:rPr>
        <w:t>serve</w:t>
      </w:r>
      <w:r w:rsidR="003A339A" w:rsidRPr="00133DDF">
        <w:rPr>
          <w:sz w:val="22"/>
          <w:szCs w:val="22"/>
          <w:lang w:val="en-GB"/>
        </w:rPr>
        <w:t xml:space="preserve"> as confirmation that a given</w:t>
      </w:r>
      <w:r w:rsidRPr="00133DDF">
        <w:rPr>
          <w:sz w:val="22"/>
          <w:szCs w:val="22"/>
          <w:lang w:val="en-GB"/>
        </w:rPr>
        <w:t xml:space="preserve"> organisation has proper resources, conditions and preparation to implement an EVS project in accordance with the formal and quality requirements of the Erasmus+ programme.</w:t>
      </w:r>
    </w:p>
    <w:p w:rsidR="00E73D72" w:rsidRPr="00133DDF" w:rsidRDefault="00E73D72" w:rsidP="00454060">
      <w:pPr>
        <w:spacing w:line="276" w:lineRule="auto"/>
        <w:jc w:val="both"/>
        <w:rPr>
          <w:sz w:val="22"/>
          <w:szCs w:val="22"/>
          <w:lang w:val="en-GB"/>
        </w:rPr>
      </w:pPr>
    </w:p>
    <w:p w:rsidR="00BC44A8" w:rsidRPr="00133DDF" w:rsidRDefault="003A339A" w:rsidP="00454060">
      <w:pPr>
        <w:spacing w:line="276" w:lineRule="auto"/>
        <w:jc w:val="both"/>
        <w:rPr>
          <w:sz w:val="22"/>
          <w:szCs w:val="22"/>
          <w:lang w:val="en-GB"/>
        </w:rPr>
      </w:pPr>
      <w:r w:rsidRPr="00133DDF">
        <w:rPr>
          <w:sz w:val="22"/>
          <w:szCs w:val="22"/>
          <w:lang w:val="en-GB"/>
        </w:rPr>
        <w:t xml:space="preserve">The </w:t>
      </w:r>
      <w:r w:rsidR="00133DDF" w:rsidRPr="00133DDF">
        <w:rPr>
          <w:sz w:val="22"/>
          <w:szCs w:val="22"/>
          <w:lang w:val="en-GB"/>
        </w:rPr>
        <w:t xml:space="preserve">Awarding Entity </w:t>
      </w:r>
      <w:r w:rsidR="00DF67B7" w:rsidRPr="00133DDF">
        <w:rPr>
          <w:sz w:val="22"/>
          <w:szCs w:val="22"/>
          <w:lang w:val="en-GB"/>
        </w:rPr>
        <w:t xml:space="preserve">shall appoint </w:t>
      </w:r>
      <w:r w:rsidR="00DF67B7" w:rsidRPr="00133DDF">
        <w:rPr>
          <w:b/>
          <w:sz w:val="22"/>
          <w:szCs w:val="22"/>
          <w:lang w:val="en-GB"/>
        </w:rPr>
        <w:t>24 accreditors</w:t>
      </w:r>
      <w:r w:rsidR="00DF67B7" w:rsidRPr="00133DDF">
        <w:rPr>
          <w:sz w:val="22"/>
          <w:szCs w:val="22"/>
          <w:lang w:val="en-GB"/>
        </w:rPr>
        <w:t xml:space="preserve"> in the course of the procedure.</w:t>
      </w:r>
    </w:p>
    <w:p w:rsidR="00E73D72" w:rsidRPr="00133DDF" w:rsidRDefault="00E73D72" w:rsidP="00454060">
      <w:pPr>
        <w:spacing w:line="276" w:lineRule="auto"/>
        <w:jc w:val="both"/>
        <w:rPr>
          <w:sz w:val="22"/>
          <w:szCs w:val="22"/>
          <w:lang w:val="en-GB"/>
        </w:rPr>
      </w:pPr>
    </w:p>
    <w:p w:rsidR="00404CC2" w:rsidRPr="00133DDF" w:rsidRDefault="00DF67B7" w:rsidP="00E73D72">
      <w:pPr>
        <w:spacing w:line="276" w:lineRule="auto"/>
        <w:jc w:val="both"/>
        <w:rPr>
          <w:sz w:val="22"/>
          <w:szCs w:val="22"/>
          <w:lang w:val="en-GB"/>
        </w:rPr>
      </w:pPr>
      <w:r w:rsidRPr="00133DDF">
        <w:rPr>
          <w:sz w:val="22"/>
          <w:szCs w:val="22"/>
          <w:lang w:val="en-GB"/>
        </w:rPr>
        <w:t xml:space="preserve">Accreditors should be </w:t>
      </w:r>
      <w:r w:rsidR="002F3DC0" w:rsidRPr="00133DDF">
        <w:rPr>
          <w:sz w:val="22"/>
          <w:szCs w:val="22"/>
          <w:lang w:val="en-GB"/>
        </w:rPr>
        <w:t>assertive, direct, with high interpersonal and communicative</w:t>
      </w:r>
      <w:r w:rsidR="007D3572" w:rsidRPr="00133DDF">
        <w:rPr>
          <w:sz w:val="22"/>
          <w:szCs w:val="22"/>
          <w:lang w:val="en-GB"/>
        </w:rPr>
        <w:t xml:space="preserve"> </w:t>
      </w:r>
      <w:r w:rsidR="002F3DC0" w:rsidRPr="00133DDF">
        <w:rPr>
          <w:sz w:val="22"/>
          <w:szCs w:val="22"/>
          <w:lang w:val="en-GB"/>
        </w:rPr>
        <w:t xml:space="preserve">competences. They should possess highly developed analytical skills, including the ability to assess a situation competently and objectively and to formulate conclusions/recommendations in an oral and written form. Moreover, due to the international nature of this cooperation, accreditors should be proficient in English (oral and written). Due to the absence of requirements to speak English in order to gain </w:t>
      </w:r>
      <w:r w:rsidR="003A339A" w:rsidRPr="00133DDF">
        <w:rPr>
          <w:sz w:val="22"/>
          <w:szCs w:val="22"/>
          <w:lang w:val="en-GB"/>
        </w:rPr>
        <w:t xml:space="preserve">an </w:t>
      </w:r>
      <w:r w:rsidR="002F3DC0" w:rsidRPr="00133DDF">
        <w:rPr>
          <w:sz w:val="22"/>
          <w:szCs w:val="22"/>
          <w:lang w:val="en-GB"/>
        </w:rPr>
        <w:t>accreditation and to the general low level of English in the region, a good command of Russian and of one of the official languages of the Eastern Partnership region is a requirement</w:t>
      </w:r>
      <w:r w:rsidR="003A339A" w:rsidRPr="00133DDF">
        <w:rPr>
          <w:sz w:val="22"/>
          <w:szCs w:val="22"/>
          <w:lang w:val="en-GB"/>
        </w:rPr>
        <w:t xml:space="preserve"> in selected </w:t>
      </w:r>
      <w:r w:rsidR="007D3572" w:rsidRPr="00133DDF">
        <w:rPr>
          <w:sz w:val="22"/>
          <w:szCs w:val="22"/>
          <w:lang w:val="en-GB"/>
        </w:rPr>
        <w:t>lots</w:t>
      </w:r>
      <w:r w:rsidR="002F3DC0" w:rsidRPr="00133DDF">
        <w:rPr>
          <w:sz w:val="22"/>
          <w:szCs w:val="22"/>
          <w:lang w:val="en-GB"/>
        </w:rPr>
        <w:t>.</w:t>
      </w:r>
    </w:p>
    <w:p w:rsidR="00404CC2" w:rsidRPr="00133DDF" w:rsidRDefault="00404CC2" w:rsidP="00E73D72">
      <w:pPr>
        <w:spacing w:line="276" w:lineRule="auto"/>
        <w:jc w:val="both"/>
        <w:rPr>
          <w:sz w:val="22"/>
          <w:szCs w:val="22"/>
          <w:lang w:val="en-GB"/>
        </w:rPr>
      </w:pPr>
    </w:p>
    <w:p w:rsidR="00182898" w:rsidRPr="00133DDF" w:rsidRDefault="002F3DC0" w:rsidP="00E73D72">
      <w:pPr>
        <w:spacing w:line="276" w:lineRule="auto"/>
        <w:jc w:val="both"/>
        <w:rPr>
          <w:sz w:val="22"/>
          <w:szCs w:val="22"/>
          <w:lang w:val="en-GB"/>
        </w:rPr>
      </w:pPr>
      <w:r w:rsidRPr="00133DDF">
        <w:rPr>
          <w:sz w:val="22"/>
          <w:szCs w:val="22"/>
          <w:lang w:val="en-GB"/>
        </w:rPr>
        <w:t xml:space="preserve">As the cultural diversity of the regions is considerable, knowledge of the customs and traditions of Russia and the </w:t>
      </w:r>
      <w:r w:rsidR="003A339A" w:rsidRPr="00133DDF">
        <w:rPr>
          <w:sz w:val="22"/>
          <w:szCs w:val="22"/>
          <w:lang w:val="en-GB"/>
        </w:rPr>
        <w:t xml:space="preserve">countries of the </w:t>
      </w:r>
      <w:r w:rsidRPr="00133DDF">
        <w:rPr>
          <w:sz w:val="22"/>
          <w:szCs w:val="22"/>
          <w:lang w:val="en-GB"/>
        </w:rPr>
        <w:t>Eastern Partnership is indispensable.</w:t>
      </w:r>
    </w:p>
    <w:p w:rsidR="00182898" w:rsidRPr="00133DDF" w:rsidRDefault="00182898" w:rsidP="00E73D72">
      <w:pPr>
        <w:spacing w:line="276" w:lineRule="auto"/>
        <w:jc w:val="both"/>
        <w:rPr>
          <w:sz w:val="22"/>
          <w:szCs w:val="22"/>
          <w:lang w:val="en-GB"/>
        </w:rPr>
      </w:pPr>
    </w:p>
    <w:p w:rsidR="00E73D72" w:rsidRPr="00133DDF" w:rsidRDefault="002F3DC0" w:rsidP="00E73D72">
      <w:pPr>
        <w:spacing w:line="276" w:lineRule="auto"/>
        <w:jc w:val="both"/>
        <w:rPr>
          <w:sz w:val="22"/>
          <w:szCs w:val="22"/>
          <w:lang w:val="en-GB"/>
        </w:rPr>
      </w:pPr>
      <w:r w:rsidRPr="00133DDF">
        <w:rPr>
          <w:sz w:val="22"/>
          <w:szCs w:val="22"/>
          <w:lang w:val="en-GB"/>
        </w:rPr>
        <w:t>Due to the specificity of work</w:t>
      </w:r>
      <w:r w:rsidR="00554B55" w:rsidRPr="00133DDF">
        <w:rPr>
          <w:sz w:val="22"/>
          <w:szCs w:val="22"/>
          <w:lang w:val="en-GB"/>
        </w:rPr>
        <w:t>,</w:t>
      </w:r>
      <w:r w:rsidR="007D3572" w:rsidRPr="00133DDF">
        <w:rPr>
          <w:sz w:val="22"/>
          <w:szCs w:val="22"/>
          <w:lang w:val="en-GB"/>
        </w:rPr>
        <w:t xml:space="preserve"> </w:t>
      </w:r>
      <w:r w:rsidR="00554B55" w:rsidRPr="00133DDF">
        <w:rPr>
          <w:sz w:val="22"/>
          <w:szCs w:val="22"/>
          <w:lang w:val="en-GB"/>
        </w:rPr>
        <w:t xml:space="preserve">it is necessary to possess </w:t>
      </w:r>
      <w:r w:rsidRPr="00133DDF">
        <w:rPr>
          <w:sz w:val="22"/>
          <w:szCs w:val="22"/>
          <w:lang w:val="en-GB"/>
        </w:rPr>
        <w:t xml:space="preserve">knowledge of European Voluntary Service issues, confirmed </w:t>
      </w:r>
      <w:r w:rsidR="003A339A" w:rsidRPr="00133DDF">
        <w:rPr>
          <w:sz w:val="22"/>
          <w:szCs w:val="22"/>
          <w:lang w:val="en-GB"/>
        </w:rPr>
        <w:t xml:space="preserve">by </w:t>
      </w:r>
      <w:r w:rsidR="000309CF" w:rsidRPr="00133DDF">
        <w:rPr>
          <w:sz w:val="22"/>
          <w:szCs w:val="22"/>
          <w:lang w:val="en-GB"/>
        </w:rPr>
        <w:t xml:space="preserve">experience in </w:t>
      </w:r>
      <w:r w:rsidR="003A339A" w:rsidRPr="00133DDF">
        <w:rPr>
          <w:sz w:val="22"/>
          <w:szCs w:val="22"/>
          <w:lang w:val="en-GB"/>
        </w:rPr>
        <w:t xml:space="preserve">the scope of </w:t>
      </w:r>
      <w:r w:rsidR="000309CF" w:rsidRPr="00133DDF">
        <w:rPr>
          <w:sz w:val="22"/>
          <w:szCs w:val="22"/>
          <w:lang w:val="en-GB"/>
        </w:rPr>
        <w:t>previ</w:t>
      </w:r>
      <w:r w:rsidR="003A339A" w:rsidRPr="00133DDF">
        <w:rPr>
          <w:sz w:val="22"/>
          <w:szCs w:val="22"/>
          <w:lang w:val="en-GB"/>
        </w:rPr>
        <w:t>ous EVS organisation accreditations</w:t>
      </w:r>
      <w:r w:rsidR="000309CF" w:rsidRPr="00133DDF">
        <w:rPr>
          <w:sz w:val="22"/>
          <w:szCs w:val="22"/>
          <w:lang w:val="en-GB"/>
        </w:rPr>
        <w:t xml:space="preserve">, EVS project management, </w:t>
      </w:r>
      <w:r w:rsidR="003A339A" w:rsidRPr="00133DDF">
        <w:rPr>
          <w:sz w:val="22"/>
          <w:szCs w:val="22"/>
          <w:lang w:val="en-GB"/>
        </w:rPr>
        <w:t>being an EVS volunteer</w:t>
      </w:r>
      <w:r w:rsidR="000309CF" w:rsidRPr="00133DDF">
        <w:rPr>
          <w:sz w:val="22"/>
          <w:szCs w:val="22"/>
          <w:lang w:val="en-GB"/>
        </w:rPr>
        <w:t xml:space="preserve"> and working with volunteers.</w:t>
      </w:r>
    </w:p>
    <w:p w:rsidR="00182898" w:rsidRPr="00133DDF" w:rsidRDefault="00182898" w:rsidP="00E73D72">
      <w:pPr>
        <w:spacing w:line="276" w:lineRule="auto"/>
        <w:jc w:val="both"/>
        <w:rPr>
          <w:sz w:val="22"/>
          <w:szCs w:val="22"/>
          <w:lang w:val="en-GB"/>
        </w:rPr>
      </w:pPr>
    </w:p>
    <w:p w:rsidR="00182898" w:rsidRPr="00133DDF" w:rsidRDefault="000309CF" w:rsidP="00E73D72">
      <w:pPr>
        <w:spacing w:line="276" w:lineRule="auto"/>
        <w:jc w:val="both"/>
        <w:rPr>
          <w:sz w:val="22"/>
          <w:szCs w:val="22"/>
          <w:lang w:val="en-GB"/>
        </w:rPr>
      </w:pPr>
      <w:r w:rsidRPr="00133DDF">
        <w:rPr>
          <w:sz w:val="22"/>
          <w:szCs w:val="22"/>
          <w:lang w:val="en-GB"/>
        </w:rPr>
        <w:t>To ensure the prompt implementation of the accreditation process accreditors have to:</w:t>
      </w:r>
    </w:p>
    <w:p w:rsidR="00182898" w:rsidRPr="00133DDF" w:rsidRDefault="000309CF" w:rsidP="00182898">
      <w:pPr>
        <w:pStyle w:val="Akapitzlist"/>
        <w:numPr>
          <w:ilvl w:val="0"/>
          <w:numId w:val="21"/>
        </w:numPr>
        <w:jc w:val="both"/>
        <w:rPr>
          <w:lang w:val="en-GB"/>
        </w:rPr>
      </w:pPr>
      <w:r w:rsidRPr="00133DDF">
        <w:rPr>
          <w:lang w:val="en-GB"/>
        </w:rPr>
        <w:t xml:space="preserve">be </w:t>
      </w:r>
      <w:r w:rsidR="003A339A" w:rsidRPr="00133DDF">
        <w:rPr>
          <w:lang w:val="en-GB"/>
        </w:rPr>
        <w:t xml:space="preserve"> available (understood</w:t>
      </w:r>
      <w:r w:rsidRPr="00133DDF">
        <w:rPr>
          <w:lang w:val="en-GB"/>
        </w:rPr>
        <w:t xml:space="preserve"> as the readiness to carry out at least 1 accreditation per year in the territory of the Eastern Partnership regions and Russia</w:t>
      </w:r>
      <w:r w:rsidR="007D3572" w:rsidRPr="00133DDF">
        <w:rPr>
          <w:lang w:val="en-GB"/>
        </w:rPr>
        <w:t xml:space="preserve"> </w:t>
      </w:r>
      <w:r w:rsidR="003A339A" w:rsidRPr="00133DDF">
        <w:rPr>
          <w:lang w:val="en-GB"/>
        </w:rPr>
        <w:t xml:space="preserve">as a visiting or </w:t>
      </w:r>
      <w:r w:rsidR="00554B55" w:rsidRPr="00133DDF">
        <w:rPr>
          <w:lang w:val="en-GB"/>
        </w:rPr>
        <w:t xml:space="preserve">desk </w:t>
      </w:r>
      <w:r w:rsidR="003A339A" w:rsidRPr="00133DDF">
        <w:rPr>
          <w:lang w:val="en-GB"/>
        </w:rPr>
        <w:t>accreditor</w:t>
      </w:r>
      <w:r w:rsidRPr="00133DDF">
        <w:rPr>
          <w:lang w:val="en-GB"/>
        </w:rPr>
        <w:t>)</w:t>
      </w:r>
    </w:p>
    <w:p w:rsidR="00182898" w:rsidRPr="00133DDF" w:rsidRDefault="000309CF" w:rsidP="00182898">
      <w:pPr>
        <w:pStyle w:val="Akapitzlist"/>
        <w:numPr>
          <w:ilvl w:val="0"/>
          <w:numId w:val="21"/>
        </w:numPr>
        <w:jc w:val="both"/>
        <w:rPr>
          <w:lang w:val="en-GB"/>
        </w:rPr>
      </w:pPr>
      <w:r w:rsidRPr="00133DDF">
        <w:rPr>
          <w:lang w:val="en-GB"/>
        </w:rPr>
        <w:t>meet deadlines</w:t>
      </w:r>
    </w:p>
    <w:p w:rsidR="003010DA" w:rsidRPr="00133DDF" w:rsidRDefault="003A339A" w:rsidP="00454060">
      <w:pPr>
        <w:pStyle w:val="Akapitzlist"/>
        <w:numPr>
          <w:ilvl w:val="0"/>
          <w:numId w:val="21"/>
        </w:numPr>
        <w:jc w:val="both"/>
        <w:rPr>
          <w:lang w:val="en-GB"/>
        </w:rPr>
      </w:pPr>
      <w:r w:rsidRPr="00133DDF">
        <w:rPr>
          <w:lang w:val="en-GB"/>
        </w:rPr>
        <w:t>b</w:t>
      </w:r>
      <w:r w:rsidR="000309CF" w:rsidRPr="00133DDF">
        <w:rPr>
          <w:lang w:val="en-GB"/>
        </w:rPr>
        <w:t>e able to manage their own work</w:t>
      </w:r>
    </w:p>
    <w:p w:rsidR="00E73D72" w:rsidRPr="00133DDF" w:rsidRDefault="000309CF" w:rsidP="00E73D72">
      <w:pPr>
        <w:spacing w:line="276" w:lineRule="auto"/>
        <w:jc w:val="both"/>
        <w:rPr>
          <w:sz w:val="22"/>
          <w:szCs w:val="22"/>
          <w:lang w:val="en-GB"/>
        </w:rPr>
      </w:pPr>
      <w:r w:rsidRPr="00133DDF">
        <w:rPr>
          <w:sz w:val="22"/>
          <w:szCs w:val="22"/>
          <w:lang w:val="en-GB"/>
        </w:rPr>
        <w:t xml:space="preserve">Most of the time accreditors work in pairs, whereas one of them is a visiting expert, the other one – a </w:t>
      </w:r>
      <w:r w:rsidR="003A339A" w:rsidRPr="00133DDF">
        <w:rPr>
          <w:sz w:val="22"/>
          <w:szCs w:val="22"/>
          <w:lang w:val="en-GB"/>
        </w:rPr>
        <w:t xml:space="preserve">desk </w:t>
      </w:r>
      <w:r w:rsidRPr="00133DDF">
        <w:rPr>
          <w:sz w:val="22"/>
          <w:szCs w:val="22"/>
          <w:lang w:val="en-GB"/>
        </w:rPr>
        <w:t>expert. Both of them read documents provided by the organisation, but the former expert visits the organisation and meets its workers, then shares his observations with the partner and they both prepare an accreditation report.</w:t>
      </w:r>
    </w:p>
    <w:p w:rsidR="00E73D72" w:rsidRPr="00133DDF" w:rsidRDefault="00E73D72" w:rsidP="00E73D72">
      <w:pPr>
        <w:spacing w:line="276" w:lineRule="auto"/>
        <w:jc w:val="both"/>
        <w:rPr>
          <w:sz w:val="22"/>
          <w:szCs w:val="22"/>
          <w:lang w:val="en-GB"/>
        </w:rPr>
      </w:pPr>
    </w:p>
    <w:p w:rsidR="00E73D72" w:rsidRPr="00133DDF" w:rsidRDefault="000309CF" w:rsidP="00E73D72">
      <w:pPr>
        <w:spacing w:line="276" w:lineRule="auto"/>
        <w:jc w:val="both"/>
        <w:rPr>
          <w:b/>
          <w:sz w:val="22"/>
          <w:szCs w:val="22"/>
          <w:lang w:val="en-GB"/>
        </w:rPr>
      </w:pPr>
      <w:r w:rsidRPr="00133DDF">
        <w:rPr>
          <w:b/>
          <w:sz w:val="22"/>
          <w:szCs w:val="22"/>
          <w:lang w:val="en-GB"/>
        </w:rPr>
        <w:t>The scope of accreditor tasks in the accreditation process involves:</w:t>
      </w:r>
    </w:p>
    <w:p w:rsidR="00E73D72" w:rsidRPr="00133DDF" w:rsidRDefault="00E73D72" w:rsidP="00E73D72">
      <w:pPr>
        <w:spacing w:line="276" w:lineRule="auto"/>
        <w:jc w:val="both"/>
        <w:rPr>
          <w:sz w:val="22"/>
          <w:szCs w:val="22"/>
          <w:lang w:val="en-GB"/>
        </w:rPr>
      </w:pPr>
    </w:p>
    <w:p w:rsidR="00E73D72" w:rsidRPr="00133DDF" w:rsidRDefault="003A339A" w:rsidP="00E73D72">
      <w:pPr>
        <w:pStyle w:val="Akapitzlist"/>
        <w:numPr>
          <w:ilvl w:val="0"/>
          <w:numId w:val="19"/>
        </w:numPr>
        <w:jc w:val="both"/>
        <w:rPr>
          <w:rFonts w:ascii="Times New Roman" w:hAnsi="Times New Roman" w:cs="Times New Roman"/>
          <w:lang w:val="en-GB"/>
        </w:rPr>
      </w:pPr>
      <w:r w:rsidRPr="00133DDF">
        <w:rPr>
          <w:rFonts w:ascii="Times New Roman" w:hAnsi="Times New Roman" w:cs="Times New Roman"/>
          <w:lang w:val="en-GB"/>
        </w:rPr>
        <w:t xml:space="preserve">quality </w:t>
      </w:r>
      <w:r w:rsidR="000309CF" w:rsidRPr="00133DDF">
        <w:rPr>
          <w:rFonts w:ascii="Times New Roman" w:hAnsi="Times New Roman" w:cs="Times New Roman"/>
          <w:lang w:val="en-GB"/>
        </w:rPr>
        <w:t xml:space="preserve">assessment of the Accreditation Application lodged by </w:t>
      </w:r>
      <w:r w:rsidR="007D3572" w:rsidRPr="00133DDF">
        <w:rPr>
          <w:rFonts w:ascii="Times New Roman" w:hAnsi="Times New Roman" w:cs="Times New Roman"/>
          <w:lang w:val="en-GB"/>
        </w:rPr>
        <w:t>an</w:t>
      </w:r>
      <w:r w:rsidR="000309CF" w:rsidRPr="00133DDF">
        <w:rPr>
          <w:rFonts w:ascii="Times New Roman" w:hAnsi="Times New Roman" w:cs="Times New Roman"/>
          <w:lang w:val="en-GB"/>
        </w:rPr>
        <w:t xml:space="preserve"> organisation</w:t>
      </w:r>
      <w:r w:rsidR="007D3572" w:rsidRPr="00133DDF">
        <w:rPr>
          <w:rFonts w:ascii="Times New Roman" w:hAnsi="Times New Roman" w:cs="Times New Roman"/>
          <w:lang w:val="en-GB"/>
        </w:rPr>
        <w:t>;</w:t>
      </w:r>
    </w:p>
    <w:p w:rsidR="00E73D72" w:rsidRPr="00133DDF" w:rsidRDefault="000309CF" w:rsidP="00E73D72">
      <w:pPr>
        <w:pStyle w:val="Akapitzlist"/>
        <w:numPr>
          <w:ilvl w:val="0"/>
          <w:numId w:val="19"/>
        </w:numPr>
        <w:jc w:val="both"/>
        <w:rPr>
          <w:rFonts w:ascii="Times New Roman" w:hAnsi="Times New Roman" w:cs="Times New Roman"/>
          <w:lang w:val="en-GB"/>
        </w:rPr>
      </w:pPr>
      <w:r w:rsidRPr="00133DDF">
        <w:rPr>
          <w:rFonts w:ascii="Times New Roman" w:hAnsi="Times New Roman" w:cs="Times New Roman"/>
          <w:lang w:val="en-GB"/>
        </w:rPr>
        <w:t>holding an accredita</w:t>
      </w:r>
      <w:r w:rsidR="003A339A" w:rsidRPr="00133DDF">
        <w:rPr>
          <w:rFonts w:ascii="Times New Roman" w:hAnsi="Times New Roman" w:cs="Times New Roman"/>
          <w:lang w:val="en-GB"/>
        </w:rPr>
        <w:t xml:space="preserve">tion meeting with organisation </w:t>
      </w:r>
      <w:r w:rsidRPr="00133DDF">
        <w:rPr>
          <w:rFonts w:ascii="Times New Roman" w:hAnsi="Times New Roman" w:cs="Times New Roman"/>
          <w:lang w:val="en-GB"/>
        </w:rPr>
        <w:t>representatives</w:t>
      </w:r>
      <w:r w:rsidR="007D3572" w:rsidRPr="00133DDF">
        <w:rPr>
          <w:rFonts w:ascii="Times New Roman" w:hAnsi="Times New Roman" w:cs="Times New Roman"/>
          <w:lang w:val="en-GB"/>
        </w:rPr>
        <w:t>;</w:t>
      </w:r>
    </w:p>
    <w:p w:rsidR="00B43F4A" w:rsidRPr="00133DDF" w:rsidRDefault="000309CF" w:rsidP="00E73D72">
      <w:pPr>
        <w:pStyle w:val="Akapitzlist"/>
        <w:numPr>
          <w:ilvl w:val="0"/>
          <w:numId w:val="19"/>
        </w:numPr>
        <w:jc w:val="both"/>
        <w:rPr>
          <w:rFonts w:ascii="Times New Roman" w:hAnsi="Times New Roman" w:cs="Times New Roman"/>
          <w:lang w:val="en-GB"/>
        </w:rPr>
      </w:pPr>
      <w:r w:rsidRPr="00133DDF">
        <w:rPr>
          <w:rFonts w:ascii="Times New Roman" w:hAnsi="Times New Roman" w:cs="Times New Roman"/>
          <w:lang w:val="en-GB"/>
        </w:rPr>
        <w:t>preparing an accreditation report</w:t>
      </w:r>
      <w:r w:rsidR="007D3572" w:rsidRPr="00133DDF">
        <w:rPr>
          <w:rFonts w:ascii="Times New Roman" w:hAnsi="Times New Roman" w:cs="Times New Roman"/>
          <w:lang w:val="en-GB"/>
        </w:rPr>
        <w:t>.</w:t>
      </w:r>
    </w:p>
    <w:p w:rsidR="00BF575B" w:rsidRPr="00133DDF" w:rsidRDefault="00867E05" w:rsidP="00454060">
      <w:pPr>
        <w:spacing w:line="276" w:lineRule="auto"/>
        <w:jc w:val="both"/>
        <w:rPr>
          <w:sz w:val="22"/>
          <w:szCs w:val="22"/>
          <w:lang w:val="en-GB"/>
        </w:rPr>
      </w:pPr>
      <w:r w:rsidRPr="00133DDF">
        <w:rPr>
          <w:sz w:val="22"/>
          <w:szCs w:val="22"/>
          <w:lang w:val="en-GB"/>
        </w:rPr>
        <w:lastRenderedPageBreak/>
        <w:t xml:space="preserve">The accreditation meeting is held at the seat of the organisation applying for accreditation (in exceptional circumstances another venue is possible or even remote accreditation). The visiting accreditor discusses the </w:t>
      </w:r>
      <w:r w:rsidR="001769AB" w:rsidRPr="00133DDF">
        <w:rPr>
          <w:sz w:val="22"/>
          <w:szCs w:val="22"/>
          <w:lang w:val="en-GB"/>
        </w:rPr>
        <w:t xml:space="preserve">plans of an organisation </w:t>
      </w:r>
      <w:r w:rsidRPr="00133DDF">
        <w:rPr>
          <w:sz w:val="22"/>
          <w:szCs w:val="22"/>
          <w:lang w:val="en-GB"/>
        </w:rPr>
        <w:t xml:space="preserve">pertaining to the implementation of EVS projects, presented in the Accreditation Application, and verifies the preparation and </w:t>
      </w:r>
      <w:r w:rsidR="003A339A" w:rsidRPr="00133DDF">
        <w:rPr>
          <w:sz w:val="22"/>
          <w:szCs w:val="22"/>
          <w:lang w:val="en-GB"/>
        </w:rPr>
        <w:t xml:space="preserve">capacity </w:t>
      </w:r>
      <w:r w:rsidRPr="00133DDF">
        <w:rPr>
          <w:sz w:val="22"/>
          <w:szCs w:val="22"/>
          <w:lang w:val="en-GB"/>
        </w:rPr>
        <w:t>of the organisation in this scope. Then the accreditor submits conclusions from the meeting and an accreditation decision recommendation to SALTO EECA in the form of a written report.</w:t>
      </w:r>
    </w:p>
    <w:p w:rsidR="00BF575B" w:rsidRPr="00133DDF" w:rsidRDefault="00BF575B" w:rsidP="00454060">
      <w:pPr>
        <w:spacing w:line="276" w:lineRule="auto"/>
        <w:jc w:val="both"/>
        <w:rPr>
          <w:sz w:val="22"/>
          <w:szCs w:val="22"/>
          <w:lang w:val="en-GB"/>
        </w:rPr>
      </w:pPr>
    </w:p>
    <w:p w:rsidR="00071613" w:rsidRPr="00133DDF" w:rsidRDefault="00867E05" w:rsidP="00454060">
      <w:pPr>
        <w:spacing w:line="276" w:lineRule="auto"/>
        <w:jc w:val="both"/>
        <w:rPr>
          <w:b/>
          <w:sz w:val="22"/>
          <w:szCs w:val="22"/>
          <w:lang w:val="en-GB"/>
        </w:rPr>
      </w:pPr>
      <w:r w:rsidRPr="00133DDF">
        <w:rPr>
          <w:b/>
          <w:sz w:val="22"/>
          <w:szCs w:val="22"/>
          <w:lang w:val="en-GB"/>
        </w:rPr>
        <w:t>The role of SALTO EECA in the process of accreditation consists in:</w:t>
      </w:r>
    </w:p>
    <w:p w:rsidR="00071613" w:rsidRPr="00133DDF" w:rsidRDefault="00867E05" w:rsidP="00454060">
      <w:pPr>
        <w:pStyle w:val="Akapitzlist"/>
        <w:numPr>
          <w:ilvl w:val="0"/>
          <w:numId w:val="20"/>
        </w:numPr>
        <w:jc w:val="both"/>
        <w:rPr>
          <w:rFonts w:ascii="Times New Roman" w:hAnsi="Times New Roman" w:cs="Times New Roman"/>
          <w:lang w:val="en-GB"/>
        </w:rPr>
      </w:pPr>
      <w:r w:rsidRPr="00133DDF">
        <w:rPr>
          <w:rFonts w:ascii="Times New Roman" w:hAnsi="Times New Roman" w:cs="Times New Roman"/>
          <w:lang w:val="en-GB"/>
        </w:rPr>
        <w:t>the registration and formal verification of Accreditation Applications</w:t>
      </w:r>
      <w:r w:rsidR="001769AB" w:rsidRPr="00133DDF">
        <w:rPr>
          <w:rFonts w:ascii="Times New Roman" w:hAnsi="Times New Roman" w:cs="Times New Roman"/>
          <w:lang w:val="en-GB"/>
        </w:rPr>
        <w:t>;</w:t>
      </w:r>
    </w:p>
    <w:p w:rsidR="00114A40" w:rsidRPr="00133DDF" w:rsidRDefault="00867E05" w:rsidP="00454060">
      <w:pPr>
        <w:pStyle w:val="Akapitzlist"/>
        <w:numPr>
          <w:ilvl w:val="0"/>
          <w:numId w:val="20"/>
        </w:numPr>
        <w:jc w:val="both"/>
        <w:rPr>
          <w:rFonts w:ascii="Times New Roman" w:hAnsi="Times New Roman" w:cs="Times New Roman"/>
          <w:lang w:val="en-GB"/>
        </w:rPr>
      </w:pPr>
      <w:r w:rsidRPr="00133DDF">
        <w:rPr>
          <w:rFonts w:ascii="Times New Roman" w:hAnsi="Times New Roman" w:cs="Times New Roman"/>
          <w:lang w:val="en-GB"/>
        </w:rPr>
        <w:t>informing accreditor</w:t>
      </w:r>
      <w:r w:rsidR="003A339A" w:rsidRPr="00133DDF">
        <w:rPr>
          <w:rFonts w:ascii="Times New Roman" w:hAnsi="Times New Roman" w:cs="Times New Roman"/>
          <w:lang w:val="en-GB"/>
        </w:rPr>
        <w:t>s</w:t>
      </w:r>
      <w:r w:rsidRPr="00133DDF">
        <w:rPr>
          <w:rFonts w:ascii="Times New Roman" w:hAnsi="Times New Roman" w:cs="Times New Roman"/>
          <w:lang w:val="en-GB"/>
        </w:rPr>
        <w:t xml:space="preserve"> about the need for an accreditation and about the time to hold meeting</w:t>
      </w:r>
      <w:r w:rsidR="003A339A" w:rsidRPr="00133DDF">
        <w:rPr>
          <w:rFonts w:ascii="Times New Roman" w:hAnsi="Times New Roman" w:cs="Times New Roman"/>
          <w:lang w:val="en-GB"/>
        </w:rPr>
        <w:t>s</w:t>
      </w:r>
      <w:r w:rsidR="001769AB" w:rsidRPr="00133DDF">
        <w:rPr>
          <w:rFonts w:ascii="Times New Roman" w:hAnsi="Times New Roman" w:cs="Times New Roman"/>
          <w:lang w:val="en-GB"/>
        </w:rPr>
        <w:t>;</w:t>
      </w:r>
    </w:p>
    <w:p w:rsidR="00114A40" w:rsidRPr="00133DDF" w:rsidRDefault="00867E05" w:rsidP="00454060">
      <w:pPr>
        <w:pStyle w:val="Akapitzlist"/>
        <w:numPr>
          <w:ilvl w:val="0"/>
          <w:numId w:val="20"/>
        </w:numPr>
        <w:jc w:val="both"/>
        <w:rPr>
          <w:rFonts w:ascii="Times New Roman" w:hAnsi="Times New Roman" w:cs="Times New Roman"/>
          <w:lang w:val="en-GB"/>
        </w:rPr>
      </w:pPr>
      <w:r w:rsidRPr="00133DDF">
        <w:rPr>
          <w:rFonts w:ascii="Times New Roman" w:hAnsi="Times New Roman" w:cs="Times New Roman"/>
          <w:lang w:val="en-GB"/>
        </w:rPr>
        <w:t>submitting Accreditation Applications to accreditors</w:t>
      </w:r>
      <w:r w:rsidR="001769AB" w:rsidRPr="00133DDF">
        <w:rPr>
          <w:rFonts w:ascii="Times New Roman" w:hAnsi="Times New Roman" w:cs="Times New Roman"/>
          <w:lang w:val="en-GB"/>
        </w:rPr>
        <w:t>;</w:t>
      </w:r>
    </w:p>
    <w:p w:rsidR="00071613" w:rsidRPr="00133DDF" w:rsidRDefault="00AA78A3" w:rsidP="00454060">
      <w:pPr>
        <w:pStyle w:val="Akapitzlist"/>
        <w:numPr>
          <w:ilvl w:val="0"/>
          <w:numId w:val="20"/>
        </w:numPr>
        <w:jc w:val="both"/>
        <w:rPr>
          <w:rFonts w:ascii="Times New Roman" w:hAnsi="Times New Roman" w:cs="Times New Roman"/>
          <w:lang w:val="en-GB"/>
        </w:rPr>
      </w:pPr>
      <w:r w:rsidRPr="00133DDF">
        <w:rPr>
          <w:rFonts w:ascii="Times New Roman" w:hAnsi="Times New Roman" w:cs="Times New Roman"/>
          <w:lang w:val="en-GB"/>
        </w:rPr>
        <w:t>m</w:t>
      </w:r>
      <w:r w:rsidR="00867E05" w:rsidRPr="00133DDF">
        <w:rPr>
          <w:rFonts w:ascii="Times New Roman" w:hAnsi="Times New Roman" w:cs="Times New Roman"/>
          <w:lang w:val="en-GB"/>
        </w:rPr>
        <w:t>aking the final decision on the accreditation on the basis of the accreditor’s report and communicating it to the organisation.</w:t>
      </w:r>
    </w:p>
    <w:p w:rsidR="00E73D72" w:rsidRPr="00133DDF" w:rsidRDefault="00AA78A3" w:rsidP="00E73D72">
      <w:pPr>
        <w:jc w:val="both"/>
        <w:rPr>
          <w:sz w:val="22"/>
          <w:szCs w:val="22"/>
          <w:lang w:val="en-GB"/>
        </w:rPr>
      </w:pPr>
      <w:r w:rsidRPr="00133DDF">
        <w:rPr>
          <w:sz w:val="22"/>
          <w:szCs w:val="22"/>
          <w:lang w:val="en-GB"/>
        </w:rPr>
        <w:t>The accreditation process for</w:t>
      </w:r>
      <w:r w:rsidR="00867E05" w:rsidRPr="00133DDF">
        <w:rPr>
          <w:sz w:val="22"/>
          <w:szCs w:val="22"/>
          <w:lang w:val="en-GB"/>
        </w:rPr>
        <w:t xml:space="preserve"> one organisation lasts about 6 weeks (although due to the large geographical area of the Eastern Partnership regions and the Russian Federation its length may be extended) and is managed by SALTO EECA supported by a team of accreditors.</w:t>
      </w:r>
    </w:p>
    <w:p w:rsidR="00071613" w:rsidRPr="00133DDF" w:rsidRDefault="00071613" w:rsidP="00454060">
      <w:pPr>
        <w:spacing w:line="276" w:lineRule="auto"/>
        <w:jc w:val="both"/>
        <w:rPr>
          <w:sz w:val="22"/>
          <w:szCs w:val="22"/>
          <w:lang w:val="en-GB"/>
        </w:rPr>
      </w:pPr>
    </w:p>
    <w:p w:rsidR="003010DA" w:rsidRPr="00133DDF" w:rsidRDefault="00867E05" w:rsidP="00454060">
      <w:pPr>
        <w:spacing w:line="276" w:lineRule="auto"/>
        <w:jc w:val="both"/>
        <w:rPr>
          <w:sz w:val="22"/>
          <w:szCs w:val="22"/>
          <w:lang w:val="en-GB"/>
        </w:rPr>
      </w:pPr>
      <w:r w:rsidRPr="00133DDF">
        <w:rPr>
          <w:sz w:val="22"/>
          <w:szCs w:val="22"/>
          <w:lang w:val="en-GB"/>
        </w:rPr>
        <w:t>The detailed rules of the accreditation process are provided in the document “</w:t>
      </w:r>
      <w:r w:rsidR="001769AB" w:rsidRPr="00133DDF">
        <w:rPr>
          <w:sz w:val="22"/>
          <w:szCs w:val="22"/>
          <w:lang w:val="en-GB"/>
        </w:rPr>
        <w:t xml:space="preserve">EVS </w:t>
      </w:r>
      <w:r w:rsidRPr="00133DDF">
        <w:rPr>
          <w:sz w:val="22"/>
          <w:szCs w:val="22"/>
          <w:lang w:val="en-GB"/>
        </w:rPr>
        <w:t>Accreditation</w:t>
      </w:r>
      <w:r w:rsidR="00AA78A3" w:rsidRPr="00133DDF">
        <w:rPr>
          <w:sz w:val="22"/>
          <w:szCs w:val="22"/>
          <w:lang w:val="en-GB"/>
        </w:rPr>
        <w:t xml:space="preserve"> </w:t>
      </w:r>
      <w:r w:rsidR="001769AB" w:rsidRPr="00133DDF">
        <w:rPr>
          <w:sz w:val="22"/>
          <w:szCs w:val="22"/>
          <w:lang w:val="en-GB"/>
        </w:rPr>
        <w:t>Guidelines</w:t>
      </w:r>
      <w:r w:rsidR="00AA78A3" w:rsidRPr="00133DDF">
        <w:rPr>
          <w:sz w:val="22"/>
          <w:szCs w:val="22"/>
          <w:lang w:val="en-GB"/>
        </w:rPr>
        <w:t>” (</w:t>
      </w:r>
      <w:r w:rsidR="001769AB" w:rsidRPr="00133DDF">
        <w:rPr>
          <w:sz w:val="22"/>
          <w:szCs w:val="22"/>
          <w:lang w:val="en-GB"/>
        </w:rPr>
        <w:t>A</w:t>
      </w:r>
      <w:r w:rsidR="00AA78A3" w:rsidRPr="00133DDF">
        <w:rPr>
          <w:sz w:val="22"/>
          <w:szCs w:val="22"/>
          <w:lang w:val="en-GB"/>
        </w:rPr>
        <w:t>nnex 1B to SE</w:t>
      </w:r>
      <w:r w:rsidR="001769AB" w:rsidRPr="00133DDF">
        <w:rPr>
          <w:sz w:val="22"/>
          <w:szCs w:val="22"/>
          <w:lang w:val="en-GB"/>
        </w:rPr>
        <w:t>T</w:t>
      </w:r>
      <w:r w:rsidR="00AA78A3" w:rsidRPr="00133DDF">
        <w:rPr>
          <w:sz w:val="22"/>
          <w:szCs w:val="22"/>
          <w:lang w:val="en-GB"/>
        </w:rPr>
        <w:t>C</w:t>
      </w:r>
      <w:r w:rsidRPr="00133DDF">
        <w:rPr>
          <w:sz w:val="22"/>
          <w:szCs w:val="22"/>
          <w:lang w:val="en-GB"/>
        </w:rPr>
        <w:t xml:space="preserve">). The detailed rules of cooperation between the </w:t>
      </w:r>
      <w:r w:rsidR="00133DDF" w:rsidRPr="00133DDF">
        <w:rPr>
          <w:sz w:val="22"/>
          <w:szCs w:val="22"/>
          <w:lang w:val="en-GB"/>
        </w:rPr>
        <w:t>Awarding Entity</w:t>
      </w:r>
      <w:r w:rsidRPr="00133DDF">
        <w:rPr>
          <w:sz w:val="22"/>
          <w:szCs w:val="22"/>
          <w:lang w:val="en-GB"/>
        </w:rPr>
        <w:t xml:space="preserve"> and the </w:t>
      </w:r>
      <w:r w:rsidR="00AA78A3" w:rsidRPr="00133DDF">
        <w:rPr>
          <w:sz w:val="22"/>
          <w:szCs w:val="22"/>
          <w:lang w:val="en-GB"/>
        </w:rPr>
        <w:t xml:space="preserve">Economic Operator </w:t>
      </w:r>
      <w:r w:rsidRPr="00133DDF">
        <w:rPr>
          <w:sz w:val="22"/>
          <w:szCs w:val="22"/>
          <w:lang w:val="en-GB"/>
        </w:rPr>
        <w:t>are set out in the annex “Rules of Co</w:t>
      </w:r>
      <w:r w:rsidR="00AA78A3" w:rsidRPr="00133DDF">
        <w:rPr>
          <w:sz w:val="22"/>
          <w:szCs w:val="22"/>
          <w:lang w:val="en-GB"/>
        </w:rPr>
        <w:t>operation” – Annex 1A to SE</w:t>
      </w:r>
      <w:r w:rsidR="001769AB" w:rsidRPr="00133DDF">
        <w:rPr>
          <w:sz w:val="22"/>
          <w:szCs w:val="22"/>
          <w:lang w:val="en-GB"/>
        </w:rPr>
        <w:t>T</w:t>
      </w:r>
      <w:r w:rsidR="00AA78A3" w:rsidRPr="00133DDF">
        <w:rPr>
          <w:sz w:val="22"/>
          <w:szCs w:val="22"/>
          <w:lang w:val="en-GB"/>
        </w:rPr>
        <w:t>C</w:t>
      </w:r>
      <w:r w:rsidRPr="00133DDF">
        <w:rPr>
          <w:sz w:val="22"/>
          <w:szCs w:val="22"/>
          <w:lang w:val="en-GB"/>
        </w:rPr>
        <w:t>.</w:t>
      </w:r>
    </w:p>
    <w:p w:rsidR="005A4941" w:rsidRPr="00133DDF" w:rsidRDefault="005A4941" w:rsidP="00454060">
      <w:pPr>
        <w:spacing w:line="276" w:lineRule="auto"/>
        <w:jc w:val="both"/>
        <w:rPr>
          <w:sz w:val="22"/>
          <w:szCs w:val="22"/>
          <w:lang w:val="en-GB"/>
        </w:rPr>
      </w:pPr>
    </w:p>
    <w:p w:rsidR="007B1580" w:rsidRPr="00133DDF" w:rsidRDefault="00867E05" w:rsidP="00454060">
      <w:pPr>
        <w:spacing w:line="276" w:lineRule="auto"/>
        <w:jc w:val="both"/>
        <w:rPr>
          <w:sz w:val="22"/>
          <w:szCs w:val="22"/>
          <w:lang w:val="en-GB"/>
        </w:rPr>
      </w:pPr>
      <w:r w:rsidRPr="00133DDF">
        <w:rPr>
          <w:b/>
          <w:sz w:val="22"/>
          <w:szCs w:val="22"/>
          <w:lang w:val="en-GB"/>
        </w:rPr>
        <w:t xml:space="preserve">Planned accreditation </w:t>
      </w:r>
      <w:r w:rsidR="00AA78A3" w:rsidRPr="00133DDF">
        <w:rPr>
          <w:b/>
          <w:sz w:val="22"/>
          <w:szCs w:val="22"/>
          <w:lang w:val="en-GB"/>
        </w:rPr>
        <w:t>dates</w:t>
      </w:r>
    </w:p>
    <w:p w:rsidR="004A64FC" w:rsidRPr="00133DDF" w:rsidRDefault="00532F61" w:rsidP="00454060">
      <w:pPr>
        <w:spacing w:line="276" w:lineRule="auto"/>
        <w:jc w:val="both"/>
        <w:rPr>
          <w:sz w:val="22"/>
          <w:szCs w:val="22"/>
          <w:lang w:val="en-GB"/>
        </w:rPr>
      </w:pPr>
      <w:r w:rsidRPr="00133DDF">
        <w:rPr>
          <w:b/>
          <w:sz w:val="22"/>
          <w:szCs w:val="22"/>
          <w:lang w:val="en-GB"/>
        </w:rPr>
        <w:t xml:space="preserve">Preferred contract </w:t>
      </w:r>
      <w:r w:rsidR="00AA78A3" w:rsidRPr="00133DDF">
        <w:rPr>
          <w:b/>
          <w:sz w:val="22"/>
          <w:szCs w:val="22"/>
          <w:lang w:val="en-GB"/>
        </w:rPr>
        <w:t>execution dates</w:t>
      </w:r>
      <w:r w:rsidRPr="00133DDF">
        <w:rPr>
          <w:b/>
          <w:sz w:val="22"/>
          <w:szCs w:val="22"/>
          <w:lang w:val="en-GB"/>
        </w:rPr>
        <w:t>: 14.04.2014 – 31.12.2015</w:t>
      </w:r>
    </w:p>
    <w:p w:rsidR="00B81887" w:rsidRPr="00133DDF" w:rsidRDefault="00532F61" w:rsidP="00454060">
      <w:pPr>
        <w:spacing w:line="276" w:lineRule="auto"/>
        <w:jc w:val="both"/>
        <w:rPr>
          <w:sz w:val="22"/>
          <w:szCs w:val="22"/>
          <w:lang w:val="en-GB"/>
        </w:rPr>
      </w:pPr>
      <w:r w:rsidRPr="00133DDF">
        <w:rPr>
          <w:sz w:val="22"/>
          <w:szCs w:val="22"/>
          <w:lang w:val="en-GB"/>
        </w:rPr>
        <w:t xml:space="preserve">The </w:t>
      </w:r>
      <w:r w:rsidR="00133DDF" w:rsidRPr="00133DDF">
        <w:rPr>
          <w:sz w:val="22"/>
          <w:szCs w:val="22"/>
          <w:lang w:val="en-GB"/>
        </w:rPr>
        <w:t xml:space="preserve">Awarding Entity </w:t>
      </w:r>
      <w:r w:rsidRPr="00133DDF">
        <w:rPr>
          <w:sz w:val="22"/>
          <w:szCs w:val="22"/>
          <w:lang w:val="en-GB"/>
        </w:rPr>
        <w:t>plans about 300 accreditations to be carried out within this time span</w:t>
      </w:r>
      <w:r w:rsidR="001F2FB3" w:rsidRPr="00133DDF">
        <w:rPr>
          <w:sz w:val="22"/>
          <w:szCs w:val="22"/>
          <w:lang w:val="en-GB"/>
        </w:rPr>
        <w:t>,</w:t>
      </w:r>
      <w:r w:rsidR="001769AB" w:rsidRPr="00133DDF">
        <w:rPr>
          <w:sz w:val="22"/>
          <w:szCs w:val="22"/>
          <w:lang w:val="en-GB"/>
        </w:rPr>
        <w:t xml:space="preserve"> </w:t>
      </w:r>
      <w:r w:rsidR="001F2FB3" w:rsidRPr="00133DDF">
        <w:rPr>
          <w:sz w:val="22"/>
          <w:szCs w:val="22"/>
          <w:lang w:val="en-GB"/>
        </w:rPr>
        <w:t>which will be divided among 24 Economic O</w:t>
      </w:r>
      <w:r w:rsidRPr="00133DDF">
        <w:rPr>
          <w:sz w:val="22"/>
          <w:szCs w:val="22"/>
          <w:lang w:val="en-GB"/>
        </w:rPr>
        <w:t>perators. The final demand shall depend on the number of accreditation applications lodged (applications can be lodged by organisations at any time throughout the whole period of contract</w:t>
      </w:r>
      <w:r w:rsidR="001F2FB3" w:rsidRPr="00133DDF">
        <w:rPr>
          <w:sz w:val="22"/>
          <w:szCs w:val="22"/>
          <w:lang w:val="en-GB"/>
        </w:rPr>
        <w:t xml:space="preserve"> execution). It is planned that one Economic O</w:t>
      </w:r>
      <w:r w:rsidRPr="00133DDF">
        <w:rPr>
          <w:sz w:val="22"/>
          <w:szCs w:val="22"/>
          <w:lang w:val="en-GB"/>
        </w:rPr>
        <w:t>perator shall perform a minimum of 2 and a maximum of 40 accreditations, whereas the final numb</w:t>
      </w:r>
      <w:r w:rsidR="001F2FB3" w:rsidRPr="00133DDF">
        <w:rPr>
          <w:sz w:val="22"/>
          <w:szCs w:val="22"/>
          <w:lang w:val="en-GB"/>
        </w:rPr>
        <w:t xml:space="preserve">er of contracts for </w:t>
      </w:r>
      <w:r w:rsidR="00133DDF" w:rsidRPr="00133DDF">
        <w:rPr>
          <w:sz w:val="22"/>
          <w:szCs w:val="22"/>
          <w:lang w:val="en-GB"/>
        </w:rPr>
        <w:t>individual</w:t>
      </w:r>
      <w:r w:rsidR="001F2FB3" w:rsidRPr="00133DDF">
        <w:rPr>
          <w:sz w:val="22"/>
          <w:szCs w:val="22"/>
          <w:lang w:val="en-GB"/>
        </w:rPr>
        <w:t xml:space="preserve"> Economic O</w:t>
      </w:r>
      <w:r w:rsidRPr="00133DDF">
        <w:rPr>
          <w:sz w:val="22"/>
          <w:szCs w:val="22"/>
          <w:lang w:val="en-GB"/>
        </w:rPr>
        <w:t xml:space="preserve">perators depends on </w:t>
      </w:r>
      <w:r w:rsidR="001F2FB3" w:rsidRPr="00133DDF">
        <w:rPr>
          <w:sz w:val="22"/>
          <w:szCs w:val="22"/>
          <w:lang w:val="en-GB"/>
        </w:rPr>
        <w:t xml:space="preserve">the current </w:t>
      </w:r>
      <w:r w:rsidRPr="00133DDF">
        <w:rPr>
          <w:sz w:val="22"/>
          <w:szCs w:val="22"/>
          <w:lang w:val="en-GB"/>
        </w:rPr>
        <w:t xml:space="preserve">demand and SALTO EECA’s decision </w:t>
      </w:r>
      <w:r w:rsidR="001F2FB3" w:rsidRPr="00133DDF">
        <w:rPr>
          <w:sz w:val="22"/>
          <w:szCs w:val="22"/>
          <w:lang w:val="en-GB"/>
        </w:rPr>
        <w:t xml:space="preserve">as well as </w:t>
      </w:r>
      <w:r w:rsidRPr="00133DDF">
        <w:rPr>
          <w:sz w:val="22"/>
          <w:szCs w:val="22"/>
          <w:lang w:val="en-GB"/>
        </w:rPr>
        <w:t xml:space="preserve">the availability of </w:t>
      </w:r>
      <w:r w:rsidR="00133DDF" w:rsidRPr="00133DDF">
        <w:rPr>
          <w:sz w:val="22"/>
          <w:szCs w:val="22"/>
          <w:lang w:val="en-GB"/>
        </w:rPr>
        <w:t xml:space="preserve">individual </w:t>
      </w:r>
      <w:r w:rsidRPr="00133DDF">
        <w:rPr>
          <w:sz w:val="22"/>
          <w:szCs w:val="22"/>
          <w:lang w:val="en-GB"/>
        </w:rPr>
        <w:t>accreditors.</w:t>
      </w:r>
    </w:p>
    <w:p w:rsidR="004A64FC" w:rsidRPr="00133DDF" w:rsidRDefault="004A64FC" w:rsidP="00454060">
      <w:pPr>
        <w:spacing w:line="276" w:lineRule="auto"/>
        <w:jc w:val="both"/>
        <w:rPr>
          <w:sz w:val="22"/>
          <w:szCs w:val="22"/>
          <w:lang w:val="en-GB"/>
        </w:rPr>
      </w:pPr>
    </w:p>
    <w:p w:rsidR="001F2FB3" w:rsidRPr="00133DDF" w:rsidRDefault="001F2FB3" w:rsidP="00454060">
      <w:pPr>
        <w:spacing w:line="276" w:lineRule="auto"/>
        <w:jc w:val="both"/>
        <w:rPr>
          <w:sz w:val="22"/>
          <w:szCs w:val="22"/>
          <w:lang w:val="en-GB"/>
        </w:rPr>
      </w:pPr>
    </w:p>
    <w:p w:rsidR="007B1580" w:rsidRPr="00133DDF" w:rsidRDefault="001F2FB3" w:rsidP="00454060">
      <w:pPr>
        <w:spacing w:line="276" w:lineRule="auto"/>
        <w:jc w:val="both"/>
        <w:rPr>
          <w:sz w:val="22"/>
          <w:szCs w:val="22"/>
          <w:lang w:val="en-GB"/>
        </w:rPr>
      </w:pPr>
      <w:r w:rsidRPr="00133DDF">
        <w:rPr>
          <w:sz w:val="22"/>
          <w:szCs w:val="22"/>
          <w:lang w:val="en-GB"/>
        </w:rPr>
        <w:t>Economic O</w:t>
      </w:r>
      <w:r w:rsidR="00532F61" w:rsidRPr="00133DDF">
        <w:rPr>
          <w:sz w:val="22"/>
          <w:szCs w:val="22"/>
          <w:lang w:val="en-GB"/>
        </w:rPr>
        <w:t xml:space="preserve">perators are obliged to be </w:t>
      </w:r>
      <w:r w:rsidR="00532F61" w:rsidRPr="00133DDF">
        <w:rPr>
          <w:b/>
          <w:sz w:val="22"/>
          <w:szCs w:val="22"/>
          <w:lang w:val="en-GB"/>
        </w:rPr>
        <w:t xml:space="preserve">ready to perform at least 1 accreditation per year in the region of the Eastern Partnership and </w:t>
      </w:r>
      <w:r w:rsidR="00133DDF" w:rsidRPr="00133DDF">
        <w:rPr>
          <w:b/>
          <w:sz w:val="22"/>
          <w:szCs w:val="22"/>
          <w:lang w:val="en-GB"/>
        </w:rPr>
        <w:t xml:space="preserve">in </w:t>
      </w:r>
      <w:r w:rsidR="00532F61" w:rsidRPr="00133DDF">
        <w:rPr>
          <w:b/>
          <w:sz w:val="22"/>
          <w:szCs w:val="22"/>
          <w:lang w:val="en-GB"/>
        </w:rPr>
        <w:t>Russia.</w:t>
      </w:r>
      <w:r w:rsidR="00532F61" w:rsidRPr="00133DDF">
        <w:rPr>
          <w:sz w:val="22"/>
          <w:szCs w:val="22"/>
          <w:lang w:val="en-GB"/>
        </w:rPr>
        <w:t xml:space="preserve"> Specific performance times </w:t>
      </w:r>
      <w:r w:rsidRPr="00133DDF">
        <w:rPr>
          <w:sz w:val="22"/>
          <w:szCs w:val="22"/>
          <w:lang w:val="en-GB"/>
        </w:rPr>
        <w:t xml:space="preserve">shall be agreed between the </w:t>
      </w:r>
      <w:r w:rsidR="00133DDF" w:rsidRPr="00133DDF">
        <w:rPr>
          <w:sz w:val="22"/>
          <w:szCs w:val="22"/>
          <w:lang w:val="en-GB"/>
        </w:rPr>
        <w:t xml:space="preserve">Awarding Entity </w:t>
      </w:r>
      <w:r w:rsidRPr="00133DDF">
        <w:rPr>
          <w:sz w:val="22"/>
          <w:szCs w:val="22"/>
          <w:lang w:val="en-GB"/>
        </w:rPr>
        <w:t>and Economic O</w:t>
      </w:r>
      <w:r w:rsidR="00532F61" w:rsidRPr="00133DDF">
        <w:rPr>
          <w:sz w:val="22"/>
          <w:szCs w:val="22"/>
          <w:lang w:val="en-GB"/>
        </w:rPr>
        <w:t>perator</w:t>
      </w:r>
      <w:r w:rsidRPr="00133DDF">
        <w:rPr>
          <w:sz w:val="22"/>
          <w:szCs w:val="22"/>
          <w:lang w:val="en-GB"/>
        </w:rPr>
        <w:t>s</w:t>
      </w:r>
      <w:r w:rsidR="00532F61" w:rsidRPr="00133DDF">
        <w:rPr>
          <w:sz w:val="22"/>
          <w:szCs w:val="22"/>
          <w:lang w:val="en-GB"/>
        </w:rPr>
        <w:t xml:space="preserve"> on an ongoing basis.</w:t>
      </w:r>
    </w:p>
    <w:p w:rsidR="001F3F4E" w:rsidRPr="00133DDF" w:rsidRDefault="001F3F4E" w:rsidP="00454060">
      <w:pPr>
        <w:spacing w:line="276" w:lineRule="auto"/>
        <w:jc w:val="both"/>
        <w:rPr>
          <w:sz w:val="22"/>
          <w:szCs w:val="22"/>
          <w:lang w:val="en-GB"/>
        </w:rPr>
      </w:pPr>
    </w:p>
    <w:p w:rsidR="006C4EA7" w:rsidRPr="00133DDF" w:rsidRDefault="001F2FB3" w:rsidP="00E73D72">
      <w:pPr>
        <w:spacing w:line="276" w:lineRule="auto"/>
        <w:jc w:val="both"/>
        <w:rPr>
          <w:b/>
          <w:sz w:val="22"/>
          <w:szCs w:val="22"/>
          <w:lang w:val="en-GB"/>
        </w:rPr>
      </w:pPr>
      <w:r w:rsidRPr="00133DDF">
        <w:rPr>
          <w:b/>
          <w:sz w:val="22"/>
          <w:szCs w:val="22"/>
          <w:lang w:val="en-GB"/>
        </w:rPr>
        <w:t xml:space="preserve">The </w:t>
      </w:r>
      <w:r w:rsidR="00133DDF" w:rsidRPr="00133DDF">
        <w:rPr>
          <w:b/>
          <w:sz w:val="22"/>
          <w:szCs w:val="22"/>
          <w:lang w:val="en-GB"/>
        </w:rPr>
        <w:t>Awarding Entity</w:t>
      </w:r>
      <w:r w:rsidR="00133DDF" w:rsidRPr="00133DDF">
        <w:rPr>
          <w:sz w:val="22"/>
          <w:szCs w:val="22"/>
          <w:lang w:val="en-GB"/>
        </w:rPr>
        <w:t xml:space="preserve"> </w:t>
      </w:r>
      <w:r w:rsidRPr="00133DDF">
        <w:rPr>
          <w:b/>
          <w:sz w:val="22"/>
          <w:szCs w:val="22"/>
          <w:lang w:val="en-GB"/>
        </w:rPr>
        <w:t xml:space="preserve">shall offer </w:t>
      </w:r>
      <w:r w:rsidR="00532F61" w:rsidRPr="00133DDF">
        <w:rPr>
          <w:b/>
          <w:sz w:val="22"/>
          <w:szCs w:val="22"/>
          <w:lang w:val="en-GB"/>
        </w:rPr>
        <w:t>the following max</w:t>
      </w:r>
      <w:r w:rsidRPr="00133DDF">
        <w:rPr>
          <w:b/>
          <w:sz w:val="22"/>
          <w:szCs w:val="22"/>
          <w:lang w:val="en-GB"/>
        </w:rPr>
        <w:t>imum rate</w:t>
      </w:r>
      <w:r w:rsidR="00532F61" w:rsidRPr="00133DDF">
        <w:rPr>
          <w:b/>
          <w:sz w:val="22"/>
          <w:szCs w:val="22"/>
          <w:lang w:val="en-GB"/>
        </w:rPr>
        <w:t xml:space="preserve"> for one accreditation, that is EUR</w:t>
      </w:r>
      <w:r w:rsidR="00133DDF" w:rsidRPr="00133DDF">
        <w:rPr>
          <w:b/>
          <w:sz w:val="22"/>
          <w:szCs w:val="22"/>
          <w:lang w:val="en-GB"/>
        </w:rPr>
        <w:t xml:space="preserve"> </w:t>
      </w:r>
      <w:r w:rsidR="00532F61" w:rsidRPr="00133DDF">
        <w:rPr>
          <w:b/>
          <w:sz w:val="22"/>
          <w:szCs w:val="22"/>
          <w:lang w:val="en-GB"/>
        </w:rPr>
        <w:t>100</w:t>
      </w:r>
      <w:r w:rsidR="00133DDF" w:rsidRPr="00133DDF">
        <w:rPr>
          <w:b/>
          <w:sz w:val="22"/>
          <w:szCs w:val="22"/>
          <w:lang w:val="en-GB"/>
        </w:rPr>
        <w:t>.00</w:t>
      </w:r>
      <w:r w:rsidR="00532F61" w:rsidRPr="00133DDF">
        <w:rPr>
          <w:b/>
          <w:sz w:val="22"/>
          <w:szCs w:val="22"/>
          <w:lang w:val="en-GB"/>
        </w:rPr>
        <w:t xml:space="preserve"> gross.</w:t>
      </w:r>
    </w:p>
    <w:p w:rsidR="00AD1176" w:rsidRPr="00133DDF" w:rsidRDefault="00AD1176" w:rsidP="00454060">
      <w:pPr>
        <w:spacing w:line="276" w:lineRule="auto"/>
        <w:jc w:val="both"/>
        <w:rPr>
          <w:sz w:val="22"/>
          <w:szCs w:val="22"/>
          <w:lang w:val="en-GB"/>
        </w:rPr>
      </w:pPr>
    </w:p>
    <w:p w:rsidR="00114A40" w:rsidRPr="00133DDF" w:rsidRDefault="00532F61" w:rsidP="00454060">
      <w:pPr>
        <w:spacing w:line="276" w:lineRule="auto"/>
        <w:jc w:val="both"/>
        <w:rPr>
          <w:sz w:val="22"/>
          <w:szCs w:val="22"/>
          <w:lang w:val="en-GB"/>
        </w:rPr>
      </w:pPr>
      <w:r w:rsidRPr="00133DDF">
        <w:rPr>
          <w:sz w:val="22"/>
          <w:szCs w:val="22"/>
          <w:lang w:val="en-GB"/>
        </w:rPr>
        <w:t>Apart from remuneration for pe</w:t>
      </w:r>
      <w:r w:rsidR="00554B55" w:rsidRPr="00133DDF">
        <w:rPr>
          <w:sz w:val="22"/>
          <w:szCs w:val="22"/>
          <w:lang w:val="en-GB"/>
        </w:rPr>
        <w:t xml:space="preserve">rforming an accreditation, the </w:t>
      </w:r>
      <w:r w:rsidR="00133DDF" w:rsidRPr="00133DDF">
        <w:rPr>
          <w:sz w:val="22"/>
          <w:szCs w:val="22"/>
          <w:lang w:val="en-GB"/>
        </w:rPr>
        <w:t xml:space="preserve">Awarding Entity shall </w:t>
      </w:r>
      <w:r w:rsidRPr="00133DDF">
        <w:rPr>
          <w:sz w:val="22"/>
          <w:szCs w:val="22"/>
          <w:lang w:val="en-GB"/>
        </w:rPr>
        <w:t xml:space="preserve">reimburse travel expenses and accommodation and subsistence costs linked to the accreditation. The above mentioned reimbursement takes place on the basis of a cost </w:t>
      </w:r>
      <w:r w:rsidR="001F2FB3" w:rsidRPr="00133DDF">
        <w:rPr>
          <w:sz w:val="22"/>
          <w:szCs w:val="22"/>
          <w:lang w:val="en-GB"/>
        </w:rPr>
        <w:t xml:space="preserve">claim </w:t>
      </w:r>
      <w:r w:rsidRPr="00133DDF">
        <w:rPr>
          <w:sz w:val="22"/>
          <w:szCs w:val="22"/>
          <w:lang w:val="en-GB"/>
        </w:rPr>
        <w:t>form together with enclosures, such as original documents (e</w:t>
      </w:r>
      <w:r w:rsidR="00133DDF" w:rsidRPr="00133DDF">
        <w:rPr>
          <w:sz w:val="22"/>
          <w:szCs w:val="22"/>
          <w:lang w:val="en-GB"/>
        </w:rPr>
        <w:t>.</w:t>
      </w:r>
      <w:r w:rsidRPr="00133DDF">
        <w:rPr>
          <w:sz w:val="22"/>
          <w:szCs w:val="22"/>
          <w:lang w:val="en-GB"/>
        </w:rPr>
        <w:t>g.: tickets, bills, invoices, receipts). The above mentioned costs should be cleared in the same calendar year in which the accreditor’s visit to the organisation applying for accreditation t</w:t>
      </w:r>
      <w:r w:rsidR="00133DDF" w:rsidRPr="00133DDF">
        <w:rPr>
          <w:sz w:val="22"/>
          <w:szCs w:val="22"/>
          <w:lang w:val="en-GB"/>
        </w:rPr>
        <w:t>a</w:t>
      </w:r>
      <w:r w:rsidRPr="00133DDF">
        <w:rPr>
          <w:sz w:val="22"/>
          <w:szCs w:val="22"/>
          <w:lang w:val="en-GB"/>
        </w:rPr>
        <w:t>k</w:t>
      </w:r>
      <w:r w:rsidR="00133DDF" w:rsidRPr="00133DDF">
        <w:rPr>
          <w:sz w:val="22"/>
          <w:szCs w:val="22"/>
          <w:lang w:val="en-GB"/>
        </w:rPr>
        <w:t>es</w:t>
      </w:r>
      <w:r w:rsidRPr="00133DDF">
        <w:rPr>
          <w:sz w:val="22"/>
          <w:szCs w:val="22"/>
          <w:lang w:val="en-GB"/>
        </w:rPr>
        <w:t xml:space="preserve"> place.</w:t>
      </w:r>
    </w:p>
    <w:p w:rsidR="00A52628" w:rsidRPr="00133DDF" w:rsidRDefault="00A52628" w:rsidP="00182898">
      <w:pPr>
        <w:spacing w:before="120"/>
        <w:jc w:val="both"/>
        <w:rPr>
          <w:lang w:val="en-GB"/>
        </w:rPr>
      </w:pPr>
    </w:p>
    <w:sectPr w:rsidR="00A52628" w:rsidRPr="00133DDF" w:rsidSect="00DD404E">
      <w:headerReference w:type="default" r:id="rId8"/>
      <w:pgSz w:w="11906" w:h="16838"/>
      <w:pgMar w:top="539" w:right="128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746" w:rsidRDefault="004E1746">
      <w:r>
        <w:separator/>
      </w:r>
    </w:p>
  </w:endnote>
  <w:endnote w:type="continuationSeparator" w:id="1">
    <w:p w:rsidR="004E1746" w:rsidRDefault="004E1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746" w:rsidRDefault="004E1746">
      <w:r>
        <w:separator/>
      </w:r>
    </w:p>
  </w:footnote>
  <w:footnote w:type="continuationSeparator" w:id="1">
    <w:p w:rsidR="004E1746" w:rsidRDefault="004E1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30" w:rsidRPr="003A339A" w:rsidRDefault="00133DDF">
    <w:pPr>
      <w:pStyle w:val="Nagwek"/>
      <w:rPr>
        <w:lang w:val="en-GB"/>
      </w:rPr>
    </w:pPr>
    <w:r>
      <w:rPr>
        <w:lang w:val="en-GB"/>
      </w:rPr>
      <w:t>Contract award p</w:t>
    </w:r>
    <w:r w:rsidR="003A339A" w:rsidRPr="003A339A">
      <w:rPr>
        <w:lang w:val="en-GB"/>
      </w:rPr>
      <w:t>rocedure n</w:t>
    </w:r>
    <w:r w:rsidR="00844E2E">
      <w:rPr>
        <w:lang w:val="en-GB"/>
      </w:rPr>
      <w:t>o.</w:t>
    </w:r>
    <w:r w:rsidR="00182898" w:rsidRPr="003A339A">
      <w:rPr>
        <w:lang w:val="en-GB"/>
      </w:rPr>
      <w:t>: ZP-18</w:t>
    </w:r>
    <w:r w:rsidR="009A4230" w:rsidRPr="003A339A">
      <w:rPr>
        <w:lang w:val="en-GB"/>
      </w:rPr>
      <w:t>/FRSE/2014</w:t>
    </w:r>
  </w:p>
  <w:p w:rsidR="009A4230" w:rsidRPr="003A339A" w:rsidRDefault="009A4230">
    <w:pPr>
      <w:pStyle w:val="Nagwek"/>
      <w:rPr>
        <w:lang w:val="en-GB"/>
      </w:rPr>
    </w:pPr>
    <w:r w:rsidRPr="003A339A">
      <w:rPr>
        <w:lang w:val="en-GB"/>
      </w:rPr>
      <w:tab/>
    </w:r>
    <w:r w:rsidRPr="003A339A">
      <w:rPr>
        <w:lang w:val="en-GB"/>
      </w:rPr>
      <w:tab/>
    </w:r>
    <w:r w:rsidR="003A339A" w:rsidRPr="003A339A">
      <w:rPr>
        <w:lang w:val="en-GB"/>
      </w:rPr>
      <w:t xml:space="preserve">Annex </w:t>
    </w:r>
    <w:r w:rsidR="003A339A">
      <w:rPr>
        <w:lang w:val="en-GB"/>
      </w:rPr>
      <w:t>1 to SE</w:t>
    </w:r>
    <w:r w:rsidR="007D3572">
      <w:rPr>
        <w:lang w:val="en-GB"/>
      </w:rPr>
      <w:t>T</w:t>
    </w:r>
    <w:r w:rsidR="003A339A">
      <w:rPr>
        <w:lang w:val="en-GB"/>
      </w:rPr>
      <w:t>C</w:t>
    </w:r>
  </w:p>
  <w:p w:rsidR="009A4230" w:rsidRPr="003A339A" w:rsidRDefault="009A4230">
    <w:pPr>
      <w:pStyle w:val="Nagwek"/>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467121C"/>
    <w:multiLevelType w:val="hybridMultilevel"/>
    <w:tmpl w:val="D0A03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150FD"/>
    <w:multiLevelType w:val="hybridMultilevel"/>
    <w:tmpl w:val="10B8A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AB1178"/>
    <w:multiLevelType w:val="hybridMultilevel"/>
    <w:tmpl w:val="FFC4A6A2"/>
    <w:lvl w:ilvl="0" w:tplc="0BBCA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936B26"/>
    <w:multiLevelType w:val="hybridMultilevel"/>
    <w:tmpl w:val="045C7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BB6C34"/>
    <w:multiLevelType w:val="singleLevel"/>
    <w:tmpl w:val="15B659A6"/>
    <w:lvl w:ilvl="0">
      <w:start w:val="1"/>
      <w:numFmt w:val="decimal"/>
      <w:lvlText w:val="%1."/>
      <w:lvlJc w:val="left"/>
      <w:pPr>
        <w:tabs>
          <w:tab w:val="num" w:pos="360"/>
        </w:tabs>
        <w:ind w:left="360" w:hanging="360"/>
      </w:pPr>
      <w:rPr>
        <w:rFonts w:hint="default"/>
        <w:b/>
      </w:rPr>
    </w:lvl>
  </w:abstractNum>
  <w:abstractNum w:abstractNumId="7">
    <w:nsid w:val="19434EFE"/>
    <w:multiLevelType w:val="singleLevel"/>
    <w:tmpl w:val="15B659A6"/>
    <w:lvl w:ilvl="0">
      <w:start w:val="1"/>
      <w:numFmt w:val="decimal"/>
      <w:lvlText w:val="%1."/>
      <w:lvlJc w:val="left"/>
      <w:pPr>
        <w:tabs>
          <w:tab w:val="num" w:pos="360"/>
        </w:tabs>
        <w:ind w:left="360" w:hanging="360"/>
      </w:pPr>
      <w:rPr>
        <w:rFonts w:hint="default"/>
        <w:b/>
      </w:rPr>
    </w:lvl>
  </w:abstractNum>
  <w:abstractNum w:abstractNumId="8">
    <w:nsid w:val="23565274"/>
    <w:multiLevelType w:val="hybridMultilevel"/>
    <w:tmpl w:val="987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3D1085"/>
    <w:multiLevelType w:val="hybridMultilevel"/>
    <w:tmpl w:val="01346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647A23"/>
    <w:multiLevelType w:val="hybridMultilevel"/>
    <w:tmpl w:val="D6A8AD40"/>
    <w:lvl w:ilvl="0" w:tplc="0BBCA2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751931"/>
    <w:multiLevelType w:val="singleLevel"/>
    <w:tmpl w:val="442CDCAE"/>
    <w:lvl w:ilvl="0">
      <w:start w:val="1"/>
      <w:numFmt w:val="bullet"/>
      <w:lvlText w:val="-"/>
      <w:lvlJc w:val="left"/>
      <w:pPr>
        <w:tabs>
          <w:tab w:val="num" w:pos="360"/>
        </w:tabs>
        <w:ind w:left="360" w:hanging="360"/>
      </w:pPr>
      <w:rPr>
        <w:rFonts w:hint="default"/>
      </w:rPr>
    </w:lvl>
  </w:abstractNum>
  <w:abstractNum w:abstractNumId="12">
    <w:nsid w:val="4E1D67A6"/>
    <w:multiLevelType w:val="hybridMultilevel"/>
    <w:tmpl w:val="C87612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650B53"/>
    <w:multiLevelType w:val="singleLevel"/>
    <w:tmpl w:val="15B659A6"/>
    <w:lvl w:ilvl="0">
      <w:start w:val="1"/>
      <w:numFmt w:val="decimal"/>
      <w:lvlText w:val="%1."/>
      <w:lvlJc w:val="left"/>
      <w:pPr>
        <w:tabs>
          <w:tab w:val="num" w:pos="360"/>
        </w:tabs>
        <w:ind w:left="360" w:hanging="360"/>
      </w:pPr>
      <w:rPr>
        <w:rFonts w:hint="default"/>
        <w:b/>
      </w:rPr>
    </w:lvl>
  </w:abstractNum>
  <w:abstractNum w:abstractNumId="14">
    <w:nsid w:val="5030791C"/>
    <w:multiLevelType w:val="hybridMultilevel"/>
    <w:tmpl w:val="FEC43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5A4A31"/>
    <w:multiLevelType w:val="hybridMultilevel"/>
    <w:tmpl w:val="039238D8"/>
    <w:lvl w:ilvl="0" w:tplc="4D8EC836">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043"/>
        </w:tabs>
        <w:ind w:left="1043" w:hanging="360"/>
      </w:pPr>
      <w:rPr>
        <w:rFonts w:ascii="Courier New" w:hAnsi="Courier New"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16">
    <w:nsid w:val="55765A7D"/>
    <w:multiLevelType w:val="hybridMultilevel"/>
    <w:tmpl w:val="ADF66A22"/>
    <w:lvl w:ilvl="0" w:tplc="9ED4A7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4E6243B"/>
    <w:multiLevelType w:val="hybridMultilevel"/>
    <w:tmpl w:val="441A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765C4D"/>
    <w:multiLevelType w:val="multilevel"/>
    <w:tmpl w:val="C300578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00B31EC"/>
    <w:multiLevelType w:val="hybridMultilevel"/>
    <w:tmpl w:val="3306E4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7"/>
  </w:num>
  <w:num w:numId="5">
    <w:abstractNumId w:val="0"/>
  </w:num>
  <w:num w:numId="6">
    <w:abstractNumId w:val="1"/>
  </w:num>
  <w:num w:numId="7">
    <w:abstractNumId w:val="4"/>
  </w:num>
  <w:num w:numId="8">
    <w:abstractNumId w:val="10"/>
  </w:num>
  <w:num w:numId="9">
    <w:abstractNumId w:val="15"/>
  </w:num>
  <w:num w:numId="10">
    <w:abstractNumId w:val="12"/>
  </w:num>
  <w:num w:numId="11">
    <w:abstractNumId w:val="17"/>
  </w:num>
  <w:num w:numId="12">
    <w:abstractNumId w:val="18"/>
  </w:num>
  <w:num w:numId="13">
    <w:abstractNumId w:val="8"/>
  </w:num>
  <w:num w:numId="14">
    <w:abstractNumId w:val="3"/>
  </w:num>
  <w:num w:numId="15">
    <w:abstractNumId w:val="16"/>
  </w:num>
  <w:num w:numId="16">
    <w:abstractNumId w:val="19"/>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0"/>
    <w:footnote w:id="1"/>
  </w:footnotePr>
  <w:endnotePr>
    <w:endnote w:id="0"/>
    <w:endnote w:id="1"/>
  </w:endnotePr>
  <w:compat/>
  <w:rsids>
    <w:rsidRoot w:val="00D038ED"/>
    <w:rsid w:val="00003653"/>
    <w:rsid w:val="00013EF9"/>
    <w:rsid w:val="000309CF"/>
    <w:rsid w:val="000311A2"/>
    <w:rsid w:val="00032EFA"/>
    <w:rsid w:val="00071613"/>
    <w:rsid w:val="00097E24"/>
    <w:rsid w:val="000A6B2C"/>
    <w:rsid w:val="000B5629"/>
    <w:rsid w:val="000B60C4"/>
    <w:rsid w:val="000F4F76"/>
    <w:rsid w:val="00105216"/>
    <w:rsid w:val="00114A40"/>
    <w:rsid w:val="00133A3A"/>
    <w:rsid w:val="00133DDF"/>
    <w:rsid w:val="00144302"/>
    <w:rsid w:val="00165225"/>
    <w:rsid w:val="001769AB"/>
    <w:rsid w:val="00182898"/>
    <w:rsid w:val="001C5DE9"/>
    <w:rsid w:val="001E06AD"/>
    <w:rsid w:val="001E2D05"/>
    <w:rsid w:val="001F2FB3"/>
    <w:rsid w:val="001F3F4E"/>
    <w:rsid w:val="00205085"/>
    <w:rsid w:val="0023471F"/>
    <w:rsid w:val="00241014"/>
    <w:rsid w:val="002524A3"/>
    <w:rsid w:val="00284C46"/>
    <w:rsid w:val="002B23A7"/>
    <w:rsid w:val="002B5EB9"/>
    <w:rsid w:val="002D3329"/>
    <w:rsid w:val="002D5FA4"/>
    <w:rsid w:val="002E7DEB"/>
    <w:rsid w:val="002F12B2"/>
    <w:rsid w:val="002F3DC0"/>
    <w:rsid w:val="002F461B"/>
    <w:rsid w:val="003010DA"/>
    <w:rsid w:val="00303032"/>
    <w:rsid w:val="00332182"/>
    <w:rsid w:val="0036644E"/>
    <w:rsid w:val="003854D8"/>
    <w:rsid w:val="003949AE"/>
    <w:rsid w:val="00395A46"/>
    <w:rsid w:val="003A339A"/>
    <w:rsid w:val="003A77CF"/>
    <w:rsid w:val="003C28F1"/>
    <w:rsid w:val="003E7A76"/>
    <w:rsid w:val="003F7E5F"/>
    <w:rsid w:val="004021A1"/>
    <w:rsid w:val="00404CC2"/>
    <w:rsid w:val="00414441"/>
    <w:rsid w:val="004275C0"/>
    <w:rsid w:val="00454060"/>
    <w:rsid w:val="004605B4"/>
    <w:rsid w:val="004669E2"/>
    <w:rsid w:val="0047628F"/>
    <w:rsid w:val="00487D80"/>
    <w:rsid w:val="00495900"/>
    <w:rsid w:val="004A0B4A"/>
    <w:rsid w:val="004A64FC"/>
    <w:rsid w:val="004B3199"/>
    <w:rsid w:val="004C72F2"/>
    <w:rsid w:val="004E1746"/>
    <w:rsid w:val="00510627"/>
    <w:rsid w:val="00513D2A"/>
    <w:rsid w:val="005213DA"/>
    <w:rsid w:val="00532F61"/>
    <w:rsid w:val="00535467"/>
    <w:rsid w:val="00554B55"/>
    <w:rsid w:val="00563237"/>
    <w:rsid w:val="00572905"/>
    <w:rsid w:val="00574073"/>
    <w:rsid w:val="005909D2"/>
    <w:rsid w:val="00597BE2"/>
    <w:rsid w:val="005A4941"/>
    <w:rsid w:val="005B28EC"/>
    <w:rsid w:val="005B798D"/>
    <w:rsid w:val="005C0631"/>
    <w:rsid w:val="005C3892"/>
    <w:rsid w:val="005E141B"/>
    <w:rsid w:val="006278D8"/>
    <w:rsid w:val="00635AE1"/>
    <w:rsid w:val="0063619D"/>
    <w:rsid w:val="006437A3"/>
    <w:rsid w:val="00657426"/>
    <w:rsid w:val="00662AE4"/>
    <w:rsid w:val="00685A3A"/>
    <w:rsid w:val="00690E89"/>
    <w:rsid w:val="00695507"/>
    <w:rsid w:val="006A1DA3"/>
    <w:rsid w:val="006B0F14"/>
    <w:rsid w:val="006C4EA7"/>
    <w:rsid w:val="006D290B"/>
    <w:rsid w:val="006E5276"/>
    <w:rsid w:val="006F2AA6"/>
    <w:rsid w:val="00705453"/>
    <w:rsid w:val="0074054F"/>
    <w:rsid w:val="007434FE"/>
    <w:rsid w:val="007546D7"/>
    <w:rsid w:val="00762BD2"/>
    <w:rsid w:val="007818A7"/>
    <w:rsid w:val="00794DDB"/>
    <w:rsid w:val="0079507F"/>
    <w:rsid w:val="007B1580"/>
    <w:rsid w:val="007D3572"/>
    <w:rsid w:val="00804170"/>
    <w:rsid w:val="00805FE7"/>
    <w:rsid w:val="008128C2"/>
    <w:rsid w:val="00826F77"/>
    <w:rsid w:val="0083305D"/>
    <w:rsid w:val="00844E2E"/>
    <w:rsid w:val="00866F5F"/>
    <w:rsid w:val="00867E05"/>
    <w:rsid w:val="008727CA"/>
    <w:rsid w:val="008834CA"/>
    <w:rsid w:val="00884E58"/>
    <w:rsid w:val="00891B6A"/>
    <w:rsid w:val="008A305D"/>
    <w:rsid w:val="008A3B45"/>
    <w:rsid w:val="008B05C3"/>
    <w:rsid w:val="008B4135"/>
    <w:rsid w:val="008D6E03"/>
    <w:rsid w:val="008E4AB0"/>
    <w:rsid w:val="00907F7E"/>
    <w:rsid w:val="00913FCB"/>
    <w:rsid w:val="00942A38"/>
    <w:rsid w:val="009511CA"/>
    <w:rsid w:val="00952E59"/>
    <w:rsid w:val="009638CC"/>
    <w:rsid w:val="009A4230"/>
    <w:rsid w:val="009B5E13"/>
    <w:rsid w:val="009D5F03"/>
    <w:rsid w:val="00A1012F"/>
    <w:rsid w:val="00A27AA6"/>
    <w:rsid w:val="00A27F2E"/>
    <w:rsid w:val="00A30AD1"/>
    <w:rsid w:val="00A30F09"/>
    <w:rsid w:val="00A52628"/>
    <w:rsid w:val="00A742E4"/>
    <w:rsid w:val="00A90194"/>
    <w:rsid w:val="00AA44F5"/>
    <w:rsid w:val="00AA78A3"/>
    <w:rsid w:val="00AB6AE4"/>
    <w:rsid w:val="00AD1176"/>
    <w:rsid w:val="00AF1928"/>
    <w:rsid w:val="00AF21CA"/>
    <w:rsid w:val="00AF53D4"/>
    <w:rsid w:val="00B023D4"/>
    <w:rsid w:val="00B03280"/>
    <w:rsid w:val="00B11BE7"/>
    <w:rsid w:val="00B21681"/>
    <w:rsid w:val="00B24967"/>
    <w:rsid w:val="00B267E7"/>
    <w:rsid w:val="00B34634"/>
    <w:rsid w:val="00B43F4A"/>
    <w:rsid w:val="00B44ECE"/>
    <w:rsid w:val="00B73CA2"/>
    <w:rsid w:val="00B75677"/>
    <w:rsid w:val="00B81887"/>
    <w:rsid w:val="00BC44A8"/>
    <w:rsid w:val="00BD6550"/>
    <w:rsid w:val="00BF575B"/>
    <w:rsid w:val="00BF5CEC"/>
    <w:rsid w:val="00C16090"/>
    <w:rsid w:val="00C26C8B"/>
    <w:rsid w:val="00C67A1F"/>
    <w:rsid w:val="00CE140F"/>
    <w:rsid w:val="00D038ED"/>
    <w:rsid w:val="00D0408A"/>
    <w:rsid w:val="00D51F65"/>
    <w:rsid w:val="00D567C8"/>
    <w:rsid w:val="00D6794E"/>
    <w:rsid w:val="00D92EFD"/>
    <w:rsid w:val="00DB01D4"/>
    <w:rsid w:val="00DD1919"/>
    <w:rsid w:val="00DD404E"/>
    <w:rsid w:val="00DD59CC"/>
    <w:rsid w:val="00DE6C3A"/>
    <w:rsid w:val="00DF4699"/>
    <w:rsid w:val="00DF613A"/>
    <w:rsid w:val="00DF67B7"/>
    <w:rsid w:val="00E275F2"/>
    <w:rsid w:val="00E31EAA"/>
    <w:rsid w:val="00E31F1E"/>
    <w:rsid w:val="00E601F6"/>
    <w:rsid w:val="00E614FA"/>
    <w:rsid w:val="00E70A09"/>
    <w:rsid w:val="00E73D72"/>
    <w:rsid w:val="00E9043C"/>
    <w:rsid w:val="00E9374D"/>
    <w:rsid w:val="00ED4292"/>
    <w:rsid w:val="00EF1B1A"/>
    <w:rsid w:val="00EF4E21"/>
    <w:rsid w:val="00F170EA"/>
    <w:rsid w:val="00F24F97"/>
    <w:rsid w:val="00F44CCB"/>
    <w:rsid w:val="00F90D64"/>
    <w:rsid w:val="00F954D3"/>
    <w:rsid w:val="00F964D4"/>
    <w:rsid w:val="00FA19EB"/>
    <w:rsid w:val="00FA5D70"/>
    <w:rsid w:val="00FB71E3"/>
    <w:rsid w:val="00FC1420"/>
    <w:rsid w:val="00FC7F18"/>
    <w:rsid w:val="00FD07EF"/>
    <w:rsid w:val="00FE1727"/>
    <w:rsid w:val="00FE20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038ED"/>
    <w:rPr>
      <w:sz w:val="24"/>
      <w:szCs w:val="24"/>
    </w:rPr>
  </w:style>
  <w:style w:type="paragraph" w:styleId="Nagwek1">
    <w:name w:val="heading 1"/>
    <w:basedOn w:val="Normalny"/>
    <w:next w:val="Normalny"/>
    <w:qFormat/>
    <w:rsid w:val="00D038ED"/>
    <w:pPr>
      <w:keepNext/>
      <w:outlineLvl w:val="0"/>
    </w:pPr>
    <w:rPr>
      <w:rFonts w:ascii="Verdana" w:hAnsi="Verdan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038ED"/>
    <w:pPr>
      <w:tabs>
        <w:tab w:val="center" w:pos="4536"/>
        <w:tab w:val="right" w:pos="9072"/>
      </w:tabs>
    </w:pPr>
  </w:style>
  <w:style w:type="paragraph" w:styleId="Stopka">
    <w:name w:val="footer"/>
    <w:basedOn w:val="Normalny"/>
    <w:rsid w:val="00D038ED"/>
    <w:pPr>
      <w:tabs>
        <w:tab w:val="center" w:pos="4536"/>
        <w:tab w:val="right" w:pos="9072"/>
      </w:tabs>
    </w:pPr>
  </w:style>
  <w:style w:type="paragraph" w:styleId="Tekstpodstawowy">
    <w:name w:val="Body Text"/>
    <w:basedOn w:val="Normalny"/>
    <w:rsid w:val="00D038ED"/>
    <w:pPr>
      <w:jc w:val="both"/>
    </w:pPr>
    <w:rPr>
      <w:rFonts w:ascii="Tahoma" w:hAnsi="Tahoma" w:cs="Tahoma"/>
      <w:sz w:val="20"/>
    </w:rPr>
  </w:style>
  <w:style w:type="paragraph" w:styleId="Tekstpodstawowy2">
    <w:name w:val="Body Text 2"/>
    <w:basedOn w:val="Normalny"/>
    <w:rsid w:val="00D038ED"/>
    <w:pPr>
      <w:jc w:val="both"/>
    </w:pPr>
    <w:rPr>
      <w:rFonts w:ascii="Tahoma" w:hAnsi="Tahoma" w:cs="Tahoma"/>
      <w:sz w:val="20"/>
      <w:u w:val="single"/>
    </w:rPr>
  </w:style>
  <w:style w:type="paragraph" w:styleId="Tekstdymka">
    <w:name w:val="Balloon Text"/>
    <w:basedOn w:val="Normalny"/>
    <w:link w:val="TekstdymkaZnak"/>
    <w:rsid w:val="00105216"/>
    <w:rPr>
      <w:rFonts w:ascii="Tahoma" w:hAnsi="Tahoma" w:cs="Tahoma"/>
      <w:sz w:val="16"/>
      <w:szCs w:val="16"/>
    </w:rPr>
  </w:style>
  <w:style w:type="character" w:customStyle="1" w:styleId="TekstdymkaZnak">
    <w:name w:val="Tekst dymka Znak"/>
    <w:basedOn w:val="Domylnaczcionkaakapitu"/>
    <w:link w:val="Tekstdymka"/>
    <w:rsid w:val="00105216"/>
    <w:rPr>
      <w:rFonts w:ascii="Tahoma" w:hAnsi="Tahoma" w:cs="Tahoma"/>
      <w:sz w:val="16"/>
      <w:szCs w:val="16"/>
    </w:rPr>
  </w:style>
  <w:style w:type="character" w:styleId="Odwoaniedokomentarza">
    <w:name w:val="annotation reference"/>
    <w:basedOn w:val="Domylnaczcionkaakapitu"/>
    <w:rsid w:val="004605B4"/>
    <w:rPr>
      <w:sz w:val="16"/>
      <w:szCs w:val="16"/>
    </w:rPr>
  </w:style>
  <w:style w:type="paragraph" w:styleId="Tekstkomentarza">
    <w:name w:val="annotation text"/>
    <w:basedOn w:val="Normalny"/>
    <w:link w:val="TekstkomentarzaZnak"/>
    <w:rsid w:val="004605B4"/>
    <w:rPr>
      <w:sz w:val="20"/>
      <w:szCs w:val="20"/>
    </w:rPr>
  </w:style>
  <w:style w:type="character" w:customStyle="1" w:styleId="TekstkomentarzaZnak">
    <w:name w:val="Tekst komentarza Znak"/>
    <w:basedOn w:val="Domylnaczcionkaakapitu"/>
    <w:link w:val="Tekstkomentarza"/>
    <w:rsid w:val="004605B4"/>
  </w:style>
  <w:style w:type="paragraph" w:styleId="Tematkomentarza">
    <w:name w:val="annotation subject"/>
    <w:basedOn w:val="Tekstkomentarza"/>
    <w:next w:val="Tekstkomentarza"/>
    <w:link w:val="TematkomentarzaZnak"/>
    <w:rsid w:val="004605B4"/>
    <w:rPr>
      <w:b/>
      <w:bCs/>
    </w:rPr>
  </w:style>
  <w:style w:type="character" w:customStyle="1" w:styleId="TematkomentarzaZnak">
    <w:name w:val="Temat komentarza Znak"/>
    <w:basedOn w:val="TekstkomentarzaZnak"/>
    <w:link w:val="Tematkomentarza"/>
    <w:rsid w:val="004605B4"/>
    <w:rPr>
      <w:b/>
      <w:bCs/>
    </w:rPr>
  </w:style>
  <w:style w:type="paragraph" w:styleId="Akapitzlist">
    <w:name w:val="List Paragraph"/>
    <w:basedOn w:val="Normalny"/>
    <w:uiPriority w:val="34"/>
    <w:qFormat/>
    <w:rsid w:val="004B3199"/>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A27AA6"/>
    <w:rPr>
      <w:sz w:val="20"/>
      <w:szCs w:val="20"/>
    </w:rPr>
  </w:style>
  <w:style w:type="character" w:customStyle="1" w:styleId="TekstprzypisudolnegoZnak">
    <w:name w:val="Tekst przypisu dolnego Znak"/>
    <w:basedOn w:val="Domylnaczcionkaakapitu"/>
    <w:link w:val="Tekstprzypisudolnego"/>
    <w:rsid w:val="00A27AA6"/>
  </w:style>
  <w:style w:type="character" w:styleId="Odwoanieprzypisudolnego">
    <w:name w:val="footnote reference"/>
    <w:basedOn w:val="Domylnaczcionkaakapitu"/>
    <w:rsid w:val="00A27AA6"/>
    <w:rPr>
      <w:vertAlign w:val="superscript"/>
    </w:rPr>
  </w:style>
  <w:style w:type="character" w:styleId="Hipercze">
    <w:name w:val="Hyperlink"/>
    <w:basedOn w:val="Domylnaczcionkaakapitu"/>
    <w:rsid w:val="00A27AA6"/>
    <w:rPr>
      <w:color w:val="0000FF" w:themeColor="hyperlink"/>
      <w:u w:val="single"/>
    </w:rPr>
  </w:style>
  <w:style w:type="paragraph" w:styleId="NormalnyWeb">
    <w:name w:val="Normal (Web)"/>
    <w:basedOn w:val="Normalny"/>
    <w:uiPriority w:val="99"/>
    <w:unhideWhenUsed/>
    <w:rsid w:val="00B216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8ED"/>
    <w:rPr>
      <w:sz w:val="24"/>
      <w:szCs w:val="24"/>
    </w:rPr>
  </w:style>
  <w:style w:type="paragraph" w:styleId="Heading1">
    <w:name w:val="heading 1"/>
    <w:basedOn w:val="Normal"/>
    <w:next w:val="Normal"/>
    <w:qFormat/>
    <w:rsid w:val="00D038ED"/>
    <w:pPr>
      <w:keepNext/>
      <w:outlineLvl w:val="0"/>
    </w:pPr>
    <w:rPr>
      <w:rFonts w:ascii="Verdana"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38ED"/>
    <w:pPr>
      <w:tabs>
        <w:tab w:val="center" w:pos="4536"/>
        <w:tab w:val="right" w:pos="9072"/>
      </w:tabs>
    </w:pPr>
  </w:style>
  <w:style w:type="paragraph" w:styleId="Footer">
    <w:name w:val="footer"/>
    <w:basedOn w:val="Normal"/>
    <w:rsid w:val="00D038ED"/>
    <w:pPr>
      <w:tabs>
        <w:tab w:val="center" w:pos="4536"/>
        <w:tab w:val="right" w:pos="9072"/>
      </w:tabs>
    </w:pPr>
  </w:style>
  <w:style w:type="paragraph" w:styleId="BodyText">
    <w:name w:val="Body Text"/>
    <w:basedOn w:val="Normal"/>
    <w:rsid w:val="00D038ED"/>
    <w:pPr>
      <w:jc w:val="both"/>
    </w:pPr>
    <w:rPr>
      <w:rFonts w:ascii="Tahoma" w:hAnsi="Tahoma" w:cs="Tahoma"/>
      <w:sz w:val="20"/>
    </w:rPr>
  </w:style>
  <w:style w:type="paragraph" w:styleId="BodyText2">
    <w:name w:val="Body Text 2"/>
    <w:basedOn w:val="Normal"/>
    <w:rsid w:val="00D038ED"/>
    <w:pPr>
      <w:jc w:val="both"/>
    </w:pPr>
    <w:rPr>
      <w:rFonts w:ascii="Tahoma" w:hAnsi="Tahoma" w:cs="Tahoma"/>
      <w:sz w:val="20"/>
      <w:u w:val="single"/>
    </w:rPr>
  </w:style>
  <w:style w:type="paragraph" w:styleId="BalloonText">
    <w:name w:val="Balloon Text"/>
    <w:basedOn w:val="Normal"/>
    <w:link w:val="BalloonTextChar"/>
    <w:rsid w:val="00105216"/>
    <w:rPr>
      <w:rFonts w:ascii="Tahoma" w:hAnsi="Tahoma" w:cs="Tahoma"/>
      <w:sz w:val="16"/>
      <w:szCs w:val="16"/>
    </w:rPr>
  </w:style>
  <w:style w:type="character" w:customStyle="1" w:styleId="BalloonTextChar">
    <w:name w:val="Balloon Text Char"/>
    <w:basedOn w:val="DefaultParagraphFont"/>
    <w:link w:val="BalloonText"/>
    <w:rsid w:val="00105216"/>
    <w:rPr>
      <w:rFonts w:ascii="Tahoma" w:hAnsi="Tahoma" w:cs="Tahoma"/>
      <w:sz w:val="16"/>
      <w:szCs w:val="16"/>
    </w:rPr>
  </w:style>
  <w:style w:type="character" w:styleId="CommentReference">
    <w:name w:val="annotation reference"/>
    <w:basedOn w:val="DefaultParagraphFont"/>
    <w:rsid w:val="004605B4"/>
    <w:rPr>
      <w:sz w:val="16"/>
      <w:szCs w:val="16"/>
    </w:rPr>
  </w:style>
  <w:style w:type="paragraph" w:styleId="CommentText">
    <w:name w:val="annotation text"/>
    <w:basedOn w:val="Normal"/>
    <w:link w:val="CommentTextChar"/>
    <w:rsid w:val="004605B4"/>
    <w:rPr>
      <w:sz w:val="20"/>
      <w:szCs w:val="20"/>
    </w:rPr>
  </w:style>
  <w:style w:type="character" w:customStyle="1" w:styleId="CommentTextChar">
    <w:name w:val="Comment Text Char"/>
    <w:basedOn w:val="DefaultParagraphFont"/>
    <w:link w:val="CommentText"/>
    <w:rsid w:val="004605B4"/>
  </w:style>
  <w:style w:type="paragraph" w:styleId="CommentSubject">
    <w:name w:val="annotation subject"/>
    <w:basedOn w:val="CommentText"/>
    <w:next w:val="CommentText"/>
    <w:link w:val="CommentSubjectChar"/>
    <w:rsid w:val="004605B4"/>
    <w:rPr>
      <w:b/>
      <w:bCs/>
    </w:rPr>
  </w:style>
  <w:style w:type="character" w:customStyle="1" w:styleId="CommentSubjectChar">
    <w:name w:val="Comment Subject Char"/>
    <w:basedOn w:val="CommentTextChar"/>
    <w:link w:val="CommentSubject"/>
    <w:rsid w:val="004605B4"/>
    <w:rPr>
      <w:b/>
      <w:bCs/>
    </w:rPr>
  </w:style>
  <w:style w:type="paragraph" w:styleId="ListParagraph">
    <w:name w:val="List Paragraph"/>
    <w:basedOn w:val="Normal"/>
    <w:uiPriority w:val="34"/>
    <w:qFormat/>
    <w:rsid w:val="004B3199"/>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A27AA6"/>
    <w:rPr>
      <w:sz w:val="20"/>
      <w:szCs w:val="20"/>
    </w:rPr>
  </w:style>
  <w:style w:type="character" w:customStyle="1" w:styleId="FootnoteTextChar">
    <w:name w:val="Footnote Text Char"/>
    <w:basedOn w:val="DefaultParagraphFont"/>
    <w:link w:val="FootnoteText"/>
    <w:rsid w:val="00A27AA6"/>
  </w:style>
  <w:style w:type="character" w:styleId="FootnoteReference">
    <w:name w:val="footnote reference"/>
    <w:basedOn w:val="DefaultParagraphFont"/>
    <w:rsid w:val="00A27AA6"/>
    <w:rPr>
      <w:vertAlign w:val="superscript"/>
    </w:rPr>
  </w:style>
  <w:style w:type="character" w:styleId="Hyperlink">
    <w:name w:val="Hyperlink"/>
    <w:basedOn w:val="DefaultParagraphFont"/>
    <w:rsid w:val="00A27AA6"/>
    <w:rPr>
      <w:color w:val="0000FF" w:themeColor="hyperlink"/>
      <w:u w:val="single"/>
    </w:rPr>
  </w:style>
  <w:style w:type="paragraph" w:styleId="NormalWeb">
    <w:name w:val="Normal (Web)"/>
    <w:basedOn w:val="Normal"/>
    <w:uiPriority w:val="99"/>
    <w:unhideWhenUsed/>
    <w:rsid w:val="00B216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6843219">
      <w:bodyDiv w:val="1"/>
      <w:marLeft w:val="0"/>
      <w:marRight w:val="0"/>
      <w:marTop w:val="0"/>
      <w:marBottom w:val="0"/>
      <w:divBdr>
        <w:top w:val="none" w:sz="0" w:space="0" w:color="auto"/>
        <w:left w:val="none" w:sz="0" w:space="0" w:color="auto"/>
        <w:bottom w:val="none" w:sz="0" w:space="0" w:color="auto"/>
        <w:right w:val="none" w:sz="0" w:space="0" w:color="auto"/>
      </w:divBdr>
    </w:div>
    <w:div w:id="1629968461">
      <w:bodyDiv w:val="1"/>
      <w:marLeft w:val="0"/>
      <w:marRight w:val="0"/>
      <w:marTop w:val="0"/>
      <w:marBottom w:val="0"/>
      <w:divBdr>
        <w:top w:val="none" w:sz="0" w:space="0" w:color="auto"/>
        <w:left w:val="none" w:sz="0" w:space="0" w:color="auto"/>
        <w:bottom w:val="none" w:sz="0" w:space="0" w:color="auto"/>
        <w:right w:val="none" w:sz="0" w:space="0" w:color="auto"/>
      </w:divBdr>
    </w:div>
    <w:div w:id="1649019620">
      <w:bodyDiv w:val="1"/>
      <w:marLeft w:val="0"/>
      <w:marRight w:val="0"/>
      <w:marTop w:val="0"/>
      <w:marBottom w:val="0"/>
      <w:divBdr>
        <w:top w:val="none" w:sz="0" w:space="0" w:color="auto"/>
        <w:left w:val="none" w:sz="0" w:space="0" w:color="auto"/>
        <w:bottom w:val="none" w:sz="0" w:space="0" w:color="auto"/>
        <w:right w:val="none" w:sz="0" w:space="0" w:color="auto"/>
      </w:divBdr>
    </w:div>
    <w:div w:id="1840196230">
      <w:bodyDiv w:val="1"/>
      <w:marLeft w:val="0"/>
      <w:marRight w:val="0"/>
      <w:marTop w:val="0"/>
      <w:marBottom w:val="0"/>
      <w:divBdr>
        <w:top w:val="none" w:sz="0" w:space="0" w:color="auto"/>
        <w:left w:val="none" w:sz="0" w:space="0" w:color="auto"/>
        <w:bottom w:val="none" w:sz="0" w:space="0" w:color="auto"/>
        <w:right w:val="none" w:sz="0" w:space="0" w:color="auto"/>
      </w:divBdr>
    </w:div>
    <w:div w:id="1958948729">
      <w:bodyDiv w:val="1"/>
      <w:marLeft w:val="0"/>
      <w:marRight w:val="0"/>
      <w:marTop w:val="0"/>
      <w:marBottom w:val="0"/>
      <w:divBdr>
        <w:top w:val="none" w:sz="0" w:space="0" w:color="auto"/>
        <w:left w:val="none" w:sz="0" w:space="0" w:color="auto"/>
        <w:bottom w:val="none" w:sz="0" w:space="0" w:color="auto"/>
        <w:right w:val="none" w:sz="0" w:space="0" w:color="auto"/>
      </w:divBdr>
    </w:div>
    <w:div w:id="21004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A448-D4CD-404E-B177-05D5035B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947</Words>
  <Characters>5341</Characters>
  <Application>Microsoft Office Word</Application>
  <DocSecurity>0</DocSecurity>
  <Lines>91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Koncepcja programu pedagogicznego</vt:lpstr>
      <vt:lpstr>Koncepcja programu pedagogicznego</vt:lpstr>
    </vt:vector>
  </TitlesOfParts>
  <Company>Program MŁODZIEŻ</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programu pedagogicznego</dc:title>
  <dc:creator>amoskwiak</dc:creator>
  <cp:lastModifiedBy>Poliglota</cp:lastModifiedBy>
  <cp:revision>12</cp:revision>
  <cp:lastPrinted>2014-02-17T12:36:00Z</cp:lastPrinted>
  <dcterms:created xsi:type="dcterms:W3CDTF">2014-03-03T10:47:00Z</dcterms:created>
  <dcterms:modified xsi:type="dcterms:W3CDTF">2014-03-05T14:30:00Z</dcterms:modified>
</cp:coreProperties>
</file>